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3A58" w:rsidRDefault="001A3A58" w:rsidP="008741AD">
      <w:pPr>
        <w:pStyle w:val="H1"/>
        <w:spacing w:before="0" w:after="240"/>
        <w:ind w:left="720" w:hanging="720"/>
        <w:outlineLvl w:val="0"/>
      </w:pPr>
      <w:r>
        <w:t xml:space="preserve">GEOCHEMISTRY ARTICLES – </w:t>
      </w:r>
      <w:r w:rsidR="00063EDE">
        <w:t>March</w:t>
      </w:r>
      <w:r w:rsidR="00B67273">
        <w:t xml:space="preserve"> 2020</w:t>
      </w:r>
    </w:p>
    <w:p w:rsidR="001A3A58" w:rsidRDefault="001A3A58" w:rsidP="008741AD">
      <w:pPr>
        <w:spacing w:before="0" w:after="240"/>
        <w:ind w:left="720" w:hanging="720"/>
        <w:rPr>
          <w:sz w:val="20"/>
        </w:rPr>
      </w:pPr>
      <w:r>
        <w:rPr>
          <w:sz w:val="20"/>
        </w:rPr>
        <w:t> </w:t>
      </w:r>
    </w:p>
    <w:p w:rsidR="001A3A58" w:rsidRDefault="001A3A58" w:rsidP="008741AD">
      <w:pPr>
        <w:pStyle w:val="H2"/>
        <w:spacing w:before="0" w:after="240"/>
        <w:ind w:left="720" w:hanging="720"/>
        <w:outlineLvl w:val="0"/>
      </w:pPr>
      <w:r>
        <w:t>Analytical Chemistry</w:t>
      </w:r>
    </w:p>
    <w:p w:rsidR="005C5B53" w:rsidRPr="00341DF6" w:rsidRDefault="005C5B53"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Di, S., Ning, T., Yu, J., Chen, P., Yu, H., Wang, J., Yang, H., Zhu, S., 2020. Recent advances and applications of magnetic nanomaterials in environmental sample analysis. TrAC Trends in Analytical Chemistry 126, 115864.</w:t>
      </w:r>
    </w:p>
    <w:p w:rsidR="006A33BC" w:rsidRPr="00341DF6" w:rsidRDefault="006A33BC"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Fritzsch, R., Hume, S., Minnes, L., Baker, M.J., Burley, G.A., Hunt, N.T., 2020. Two-dimensional infrared spectroscopy: an emerging analytical tool? Analyst 145, 2014-2024.</w:t>
      </w:r>
    </w:p>
    <w:p w:rsidR="004F1E0C" w:rsidRPr="00341DF6" w:rsidRDefault="004F1E0C"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Halloran, M., Traina, N., Choi, J., Lee, T., Yoo, J., 2020. Simultaneous measurements of light hydrocarbons using supercontinuum laser absorption spectroscopy. Energy &amp; Fuels 34, 3671-3678.</w:t>
      </w:r>
    </w:p>
    <w:p w:rsidR="00DF0DA9" w:rsidRPr="00341DF6" w:rsidRDefault="00DF0DA9"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Hice, S.A., Varona, M., Brost, A., Dai, F., Anderson, J.L., Brehm-Stecher, B.F., 2020. Magnetic ionic liquids: interactions with bacterial cells, behavior in aqueous suspension, and broader applications. Analytical and Bioanalytical Chemistry 412, 1741-1755.</w:t>
      </w:r>
    </w:p>
    <w:p w:rsidR="00672046" w:rsidRPr="00341DF6" w:rsidRDefault="00672046"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Katasonova, O.N., Savonina, E.Y., Maryutina, T.A., 2020. Extraction separation of sulfur compounds from crude oils in a flow-through mode. Journal of Analytical Chemistry 75, 148-153.</w:t>
      </w:r>
    </w:p>
    <w:p w:rsidR="0064405D" w:rsidRPr="00341DF6" w:rsidRDefault="0064405D"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Long, D.A., Reed, Z.D., Fleisher, A.J., Mendonca, J., Roche, S., Hodges, J.T., 2020. High-accuracy near-infrared carbon dioxide intensity measurements to support remote sensing. Geophysical Research Letters 47, e2019GL086344.</w:t>
      </w:r>
    </w:p>
    <w:p w:rsidR="0064405D" w:rsidRPr="00341DF6" w:rsidRDefault="0064405D"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 xml:space="preserve">Luo, R., Ma, G., Bi, S., Duan, Q., Chen, J., Feng, Y., Liu, F., Lee, J.,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Machine learning for total organic carbon analysis of environmental water samples using high-throughput colorimetric sensors. Analyst 145, 2197-2203.</w:t>
      </w:r>
    </w:p>
    <w:p w:rsidR="00123F4A" w:rsidRPr="00341DF6" w:rsidRDefault="00123F4A"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 xml:space="preserve">Torniainen, J., Afara, I.O., Prakash, M., Sarin, J.K., Stenroth, L., Töyräs, J., 2020. Open-source </w:t>
      </w:r>
      <w:r>
        <w:rPr>
          <w:rFonts w:ascii="Times New Roman" w:hAnsi="Times New Roman" w:cs="Times New Roman"/>
          <w:sz w:val="24"/>
          <w:szCs w:val="24"/>
        </w:rPr>
        <w:t>P</w:t>
      </w:r>
      <w:r w:rsidRPr="00341DF6">
        <w:rPr>
          <w:rFonts w:ascii="Times New Roman" w:hAnsi="Times New Roman" w:cs="Times New Roman"/>
          <w:sz w:val="24"/>
          <w:szCs w:val="24"/>
        </w:rPr>
        <w:t>ython module for automated preprocessing of near infrared spectroscopic data. Analytica Chimica Acta 1108, 1-9.</w:t>
      </w:r>
    </w:p>
    <w:p w:rsidR="00911845" w:rsidRPr="00341DF6" w:rsidRDefault="00911845"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Xiong, L., YanDe, L., Xiaogang, J., Aiguo, O., Xudong, S., guantian, W., 2020. Determination and quantification of kerosene in gasoline by mid-infrared and Raman spectroscopy. Journal of Molecular Structure 1210, 127760.</w:t>
      </w:r>
    </w:p>
    <w:p w:rsidR="001A3A58" w:rsidRDefault="001A3A58" w:rsidP="008741AD">
      <w:pPr>
        <w:spacing w:before="0" w:after="240"/>
        <w:ind w:left="720" w:hanging="720"/>
      </w:pPr>
    </w:p>
    <w:p w:rsidR="001A3A58" w:rsidRDefault="001A3A58" w:rsidP="0009337C">
      <w:pPr>
        <w:pStyle w:val="H3"/>
        <w:spacing w:before="0" w:after="240"/>
        <w:ind w:hanging="360"/>
        <w:outlineLvl w:val="0"/>
      </w:pPr>
      <w:r>
        <w:t>Gas Chromatography/GC×GC/GC-MS</w:t>
      </w:r>
    </w:p>
    <w:p w:rsidR="005C5B53" w:rsidRPr="00341DF6" w:rsidRDefault="005C5B53"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Darko, E., Thurbide, K.B., 2020. Active control of selectivity in organic acid analysis by gas chromatography. Analytica Chimica Acta 1106, 216-223.</w:t>
      </w:r>
    </w:p>
    <w:p w:rsidR="00F407FD" w:rsidRPr="00341DF6" w:rsidRDefault="00F407F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Quiroz-Moreno, C., Furlan, M.F., de Souza, J.R.B., Augusto, F., Alexandrino, G.L., Mogollón, N.G.S., 2020. RGC×GC toolbox: an R-package for data processing in comprehensive two-dimensional gas chromatography-mass spectrometry. Microchemical Journal 156, 104830.</w:t>
      </w:r>
    </w:p>
    <w:p w:rsidR="00123F4A" w:rsidRPr="00341DF6" w:rsidRDefault="00123F4A"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lastRenderedPageBreak/>
        <w:t xml:space="preserve">Tian, Y., Hou, Y., Yu, Q., Wang, X., Tian, M.,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Layer-by-layer self-assembly of a novel covalent organic frameworks microextraction coating for analyzing polycyclic aromatic hydrocarbons from aqueous solutions via gas chromatography. Journal of Separation Science 43, 896-904.</w:t>
      </w:r>
    </w:p>
    <w:p w:rsidR="001D1AAB" w:rsidRDefault="001D1AAB" w:rsidP="0009337C">
      <w:pPr>
        <w:spacing w:before="0" w:after="240"/>
        <w:ind w:left="360" w:hanging="360"/>
        <w:rPr>
          <w:noProof/>
        </w:rPr>
      </w:pPr>
    </w:p>
    <w:p w:rsidR="00063EDE" w:rsidRPr="00063EDE" w:rsidRDefault="00063EDE" w:rsidP="00063EDE">
      <w:pPr>
        <w:pStyle w:val="H3"/>
        <w:spacing w:before="0" w:after="240"/>
        <w:ind w:hanging="360"/>
        <w:outlineLvl w:val="0"/>
      </w:pPr>
      <w:r w:rsidRPr="00063EDE">
        <w:t>Snow, N.</w:t>
      </w:r>
      <w:r>
        <w:t xml:space="preserve"> (ed.)</w:t>
      </w:r>
      <w:r w:rsidRPr="00063EDE">
        <w:t xml:space="preserve">, 2020. Basic Multidimensional Gas Chromatography, Separation Science and Technology Volume 12. Academic Press, </w:t>
      </w:r>
      <w:r>
        <w:t xml:space="preserve"> </w:t>
      </w:r>
      <w:r w:rsidRPr="00063EDE">
        <w:t>330</w:t>
      </w:r>
      <w:r>
        <w:t xml:space="preserve"> pp</w:t>
      </w:r>
      <w:r w:rsidRPr="00063EDE">
        <w:t>.</w:t>
      </w:r>
    </w:p>
    <w:p w:rsidR="00063EDE" w:rsidRPr="00341DF6" w:rsidRDefault="00063EDE"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Dimandja, J.M.D., 2020. Chapter 1 - Introduction and historical background: the “inside” story of comprehensive two-dimensional gas chromatography, in: Snow, N.H. (Ed.), Separation Science and Technology. Academic Press, pp. 1-40.</w:t>
      </w:r>
    </w:p>
    <w:p w:rsidR="00063EDE" w:rsidRPr="00341DF6" w:rsidRDefault="00063EDE"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Marriott, P.J., Nolvachai, Y., 2020. Chapter 2 - A better way to separate the wheat from the chaff. Progression from single-dimension gas chromatography to multidimensional gas chromatography, in: Snow, N.H. (Ed.), Separation Science and Technology. Academic Press, pp. 41-68.</w:t>
      </w:r>
    </w:p>
    <w:p w:rsidR="00063EDE" w:rsidRPr="00341DF6" w:rsidRDefault="00063EDE"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Stefanuto, P.-H., Focant, J.-F., 2020. Chapter 3 - Columns and column configurations, in: Snow, N.H. (Ed.), Separation Science and Technology. Academic Press, pp. 69-88.</w:t>
      </w:r>
    </w:p>
    <w:p w:rsidR="00063EDE" w:rsidRPr="00341DF6" w:rsidRDefault="00063EDE"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Boswell, H., Chow, H.Y., Gorecki, T., 2020. Chapter 4 - Modulators, in: Snow, N.H. (Ed.), Separation Science and Technology. Academic Press, pp. 89-140.</w:t>
      </w:r>
    </w:p>
    <w:p w:rsidR="00063EDE" w:rsidRPr="00341DF6" w:rsidRDefault="00063EDE"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Weggler, B.A., Gruber, B., Teehan, P., Jaramillo, R., Dorman, F.L., 2020. Chapter 5 - Inlets and sampling, in: Snow, N.H. (Ed.), Separation Science and Technology. Academic Press, pp. 141-203.</w:t>
      </w:r>
    </w:p>
    <w:p w:rsidR="00063EDE" w:rsidRPr="00341DF6" w:rsidRDefault="00063EDE"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Tranchida, P.Q., Mondello, L., 2020. Chapter 6 - Detectors and basic data analysis, in: Snow, N.H. (Ed.), Separation Science and Technology. Academic Press, pp. 205-227.</w:t>
      </w:r>
    </w:p>
    <w:p w:rsidR="00063EDE" w:rsidRPr="00341DF6" w:rsidRDefault="00063EDE"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Berrier, K.L., Prebihalo, S.E., Synovec, R.E., 2020. Chapter 7 - Advanced data handling in comprehensive two-dimensional gas chromatography, in: Snow, N.H. (Ed.), Separation Science and Technology. Academic Press, pp. 229-268.</w:t>
      </w:r>
    </w:p>
    <w:p w:rsidR="00063EDE" w:rsidRPr="00341DF6" w:rsidRDefault="00063EDE"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Snow, N.H.,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Chapter 8 - Applications, in: Snow, N.H. (Ed.), Separation Science and Technology. Academic Press, pp. 269-295.</w:t>
      </w:r>
    </w:p>
    <w:p w:rsidR="00063EDE" w:rsidRPr="00341DF6" w:rsidRDefault="00063EDE"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Snow, N.H.,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Appendix - Additional resources and bibliography, in: Snow, N.H. (Ed.), Separation Science and Technology. Academic Press, pp. 297-300.</w:t>
      </w:r>
    </w:p>
    <w:p w:rsidR="00063EDE" w:rsidRDefault="00063EDE" w:rsidP="00DB42FE">
      <w:pPr>
        <w:widowControl/>
        <w:spacing w:before="0" w:after="120"/>
        <w:ind w:left="720" w:hanging="360"/>
        <w:rPr>
          <w:noProof/>
        </w:rPr>
      </w:pPr>
    </w:p>
    <w:p w:rsidR="00063EDE" w:rsidRDefault="00063EDE" w:rsidP="0009337C">
      <w:pPr>
        <w:spacing w:before="0" w:after="240"/>
        <w:ind w:left="360" w:hanging="360"/>
        <w:rPr>
          <w:noProof/>
        </w:rPr>
      </w:pPr>
    </w:p>
    <w:p w:rsidR="00B30DDF" w:rsidRDefault="00B30DDF" w:rsidP="0009337C">
      <w:pPr>
        <w:pStyle w:val="H3"/>
        <w:spacing w:before="0" w:after="240"/>
        <w:ind w:left="360"/>
        <w:outlineLvl w:val="0"/>
      </w:pPr>
      <w:r>
        <w:t>Imaging: AFM</w:t>
      </w:r>
    </w:p>
    <w:p w:rsidR="007A04CB" w:rsidRPr="00341DF6" w:rsidRDefault="007A04CB"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Afekare, D., Gupta, I., Rao, D., 2020. Nanoscale investigation of silicon dioxide nanofluids and implications for enhanced oil recovery – An atomic force microscope study. Journal of Petroleum Science and Engineering 191, 107165.</w:t>
      </w:r>
    </w:p>
    <w:p w:rsidR="007A04CB" w:rsidRPr="00341DF6" w:rsidRDefault="007A04CB"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lastRenderedPageBreak/>
        <w:t>Alldritt, B., Hapala, P., Oinonen, N., Urtev, F., Krejci, O., Federici Canova, F., Kannala, J., Schulz, F., Liljeroth, P., Foster, A.S., 2020. Automated structure discovery in atomic force microscopy. Science Advances 6, eaay6913.</w:t>
      </w:r>
    </w:p>
    <w:p w:rsidR="00B30DDF" w:rsidRDefault="00B30DDF" w:rsidP="0009337C">
      <w:pPr>
        <w:spacing w:before="0" w:after="240"/>
        <w:ind w:left="360" w:hanging="360"/>
        <w:rPr>
          <w:noProof/>
        </w:rPr>
      </w:pPr>
    </w:p>
    <w:p w:rsidR="00117393" w:rsidRDefault="00117393" w:rsidP="0009337C">
      <w:pPr>
        <w:pStyle w:val="H3"/>
        <w:spacing w:before="0" w:after="240"/>
        <w:ind w:left="360"/>
        <w:outlineLvl w:val="0"/>
      </w:pPr>
      <w:r>
        <w:t>Imagin</w:t>
      </w:r>
      <w:r w:rsidR="00BA2195">
        <w:t>g</w:t>
      </w:r>
      <w:r>
        <w:t>: SEM, TEM, HIM</w:t>
      </w:r>
    </w:p>
    <w:p w:rsidR="007A04CB" w:rsidRPr="00341DF6" w:rsidRDefault="007A04CB"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Flores, N., Hoyos, S., Venegas, M., Galetović, A., Zúñiga, L.M., Fábrega, F., Paredes, B., Salazar-Ardiles, C., Vilo, C., Ascaso, C., Wierzchos, J., Souza-Egipsy, V., Araya, J.E., Batista-García, R.A., Gómez-Silva, B., 2020. </w:t>
      </w:r>
      <w:r w:rsidRPr="00341DF6">
        <w:rPr>
          <w:rFonts w:ascii="Times New Roman" w:hAnsi="Times New Roman" w:cs="Times New Roman"/>
          <w:i/>
          <w:sz w:val="24"/>
          <w:szCs w:val="24"/>
        </w:rPr>
        <w:t xml:space="preserve">Haloterrigena </w:t>
      </w:r>
      <w:r w:rsidRPr="00341DF6">
        <w:rPr>
          <w:rFonts w:ascii="Times New Roman" w:hAnsi="Times New Roman" w:cs="Times New Roman"/>
          <w:sz w:val="24"/>
          <w:szCs w:val="24"/>
        </w:rPr>
        <w:t>sp. strain SGH1, a bacterioruberin-rich, perchlorate-tolerant halophilic archaeon isolated from halite microbial communities, Atacama Desert, Chile. Frontiers in Microbiology 11, 324. doi: 310.3389/fmicb.2020.00324.</w:t>
      </w:r>
    </w:p>
    <w:p w:rsidR="007A04CB" w:rsidRPr="00341DF6" w:rsidRDefault="007A04CB"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Gong, J., Myers, K.D., Munoz-Saez, C., Homann, M., Rouillard, J., Wirth, R., Schreiber, A., van Zuilen, M.A., 2020. Formation and preservation of microbial palisade fabric in silica deposits from El Tatio, Chile. Astrobiology 20, 500-524.</w:t>
      </w:r>
    </w:p>
    <w:p w:rsidR="007A04CB" w:rsidRPr="00341DF6" w:rsidRDefault="007A04CB"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Hickman-Lewis, K., Cavalazzi, B., Sorieul, S., Gautret, P., Foucher, F., Whitehouse, M.J., Jeon, H., Georgelin, T., Cockell, C.S., Westall, F., 2020. Metallomics in deep time and the influence of ocean chemistry on the metabolic landscapes of Earth’s earliest ecosystems. Scientific Reports 10, 4965.</w:t>
      </w:r>
    </w:p>
    <w:p w:rsidR="007A04CB" w:rsidRPr="00341DF6" w:rsidRDefault="007A04CB"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Hu, G., Pang, Q., Jiao, K., Hu, C., Liao, Z.,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Development of organic pores in the Longmaxi Formation overmature shales: Combined effects of thermal maturity and organic matter composition. Marine and Petroleum Geology 116, 104314.</w:t>
      </w:r>
    </w:p>
    <w:p w:rsidR="007A04CB" w:rsidRPr="00341DF6" w:rsidRDefault="007A04CB"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Jiang, X.D., Zhao, X., Chou, Y.M., Liu, Q.S., Roberts, A.P., Ren, J.B., Sun, X.M., Li, J.H., Tang, X., Zhao, X.Y., Wang, C.C.,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Characterization and quantification of magnetofossils within abyssal manganese nodules from the western Pacific Ocean and implications for nodule formation. Geochemistry, Geophysics, Geosystems 21, e2019GC008811.</w:t>
      </w:r>
    </w:p>
    <w:p w:rsidR="007A04CB" w:rsidRPr="00341DF6" w:rsidRDefault="007A04CB"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Lau, J.W., Schliep, K.B., Katz, M.B., Gokhale, V.J., Gorman, J.J., Jing, C., Liu, A., Zhao, Y., Montgomery, E., Choe, H., Rush, W., Kanareykin, A., Fu, X., Zhu, Y.,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Laser-free GHz stroboscopic transmission electron microscope: Components, system integration, and practical considerations for pump–probe measurements. Review of Scientific Instruments 91, 021301.</w:t>
      </w:r>
    </w:p>
    <w:p w:rsidR="007A04CB" w:rsidRPr="00341DF6" w:rsidRDefault="007A04CB"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Levett, A., Vasconcelos, P.M., Gagen, E.J., Rintoul, L., Spier, C., Guagliardo, P., Southam, G., 2020. Microbial weathering signatures in lateritic ferruginous duricrusts. Earth and Planetary Science Letters 538, 116209.</w:t>
      </w:r>
    </w:p>
    <w:p w:rsidR="007A04CB" w:rsidRPr="00341DF6" w:rsidRDefault="007A04CB"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Liu, R., Hao, F., Engelder, T., Shu, Z., Yi, J., Xu, S., Teng, C.,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Influence of tectonic exhumation on porosity of Wufeng–Longmaxi shale in the Fuling gas field of the eastern Sichuan Basin, China. American Association of Petroleum Geologists Bulletin 104, 939-959.</w:t>
      </w:r>
    </w:p>
    <w:p w:rsidR="007A04CB" w:rsidRPr="00341DF6" w:rsidRDefault="007A04CB"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Macaulay, B.M., Boothman, C., van Dongen, B.E., Lloyd, J.R., 2020. A novel “microbial bait” technique for capturing Fe(III)-reducing bacteria. Frontiers in Microbiology 11, 330. doi: 310.3389/fmicb.2020.00330.</w:t>
      </w:r>
    </w:p>
    <w:p w:rsidR="007A04CB" w:rsidRPr="00341DF6" w:rsidRDefault="007A04CB"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lastRenderedPageBreak/>
        <w:t>Mychajliw, A.M., Rice, K.A., Tewksbury, L.R., Southon, J.R., Lindsey, E.L., 2020. Exceptionally preserved asphaltic coprolites expand the spatiotemporal range of a North American paleoecological proxy. Scientific Reports 10, 5069.</w:t>
      </w:r>
    </w:p>
    <w:p w:rsidR="007A04CB" w:rsidRPr="00341DF6" w:rsidRDefault="007A04CB"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Pascual-García, A., Bonhoeffer, S., Bell, T., 2020. Metabolically cohesive microbial consortia and ecosystem functioning. Philosophical Transactions of the Royal Society B: Biological Sciences 375, 20190245.</w:t>
      </w:r>
    </w:p>
    <w:p w:rsidR="007A04CB" w:rsidRPr="00341DF6" w:rsidRDefault="007A04CB"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Sobhani, Z., Zhang, X., Gibson, C., Naidu, R., Megharaj, M., Fang, C., 2020. Identification and visualisation of microplastics/nanoplastics by Raman imaging (i): Down to 100 nm. Water Research 174, 115658.</w:t>
      </w:r>
    </w:p>
    <w:p w:rsidR="007A04CB" w:rsidRPr="00341DF6" w:rsidRDefault="007A04CB"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Song, J., Rezaee, S., Guo, W., Hernandez, B., Puerto, M., Vargas, F.M., Hirasaki, G.J., Biswal, S.L.,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Evaluating physicochemical properties of crude oil as indicators of low-salinity–induced wettability alteration in carbonate minerals. Scientific Reports 10, 3762.</w:t>
      </w:r>
    </w:p>
    <w:p w:rsidR="007A04CB" w:rsidRPr="00341DF6" w:rsidRDefault="007A04CB"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Topper, T.P., Guo, J., Clausen, S., Skovsted, C.B., Zhang, Z., 2020. Reply to ‘Re-evaluating the phylogenetic position of the enigmatic early Cambrian deuterostome </w:t>
      </w:r>
      <w:r w:rsidRPr="00341DF6">
        <w:rPr>
          <w:rFonts w:ascii="Times New Roman" w:hAnsi="Times New Roman" w:cs="Times New Roman"/>
          <w:i/>
          <w:sz w:val="24"/>
          <w:szCs w:val="24"/>
        </w:rPr>
        <w:t>Yanjiahella’</w:t>
      </w:r>
      <w:r w:rsidRPr="00341DF6">
        <w:rPr>
          <w:rFonts w:ascii="Times New Roman" w:hAnsi="Times New Roman" w:cs="Times New Roman"/>
          <w:sz w:val="24"/>
          <w:szCs w:val="24"/>
        </w:rPr>
        <w:t>. Nature Communications 11, 1287.</w:t>
      </w:r>
    </w:p>
    <w:p w:rsidR="007A04CB" w:rsidRPr="00341DF6" w:rsidRDefault="007A04CB"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Xu, S., Hao, F., Shu, Z., Zhang, A., Yang, F.,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Pore structures of different types of shales and shale gas exploration of the Ordovician Wufeng and Silurian Longmaxi successions in the eastern Sichuan Basin, South China. Journal of Asian Earth Sciences 193, 104271.</w:t>
      </w:r>
    </w:p>
    <w:p w:rsidR="007A04CB" w:rsidRPr="00341DF6" w:rsidRDefault="007A04CB"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Yu, Q., Xiong, Z., Du, C., Dai, Z., Soltanian, M.R., Soltanian, M., Yin, S., Liu, W., Liu, C., Wang, C., Song, Z.,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Identification of rock pore structures and permeabilities using electron microscopy experiments and deep learning interpretations. Fuel 268, 117416.</w:t>
      </w:r>
    </w:p>
    <w:p w:rsidR="007A04CB" w:rsidRPr="00341DF6" w:rsidRDefault="007A04CB"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Zhai, X., Luo, P., Gu, Z., Jiang, H., Zhang, B., Wang, Z., Wang, T., Wu, S.,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Microbial mineralization of botryoidal laminations in the Upper Ediacaran dolostones, Western Yangtze Platform, SW China. Journal of Asian Earth Sciences 195, 104334.</w:t>
      </w:r>
    </w:p>
    <w:p w:rsidR="007A04CB" w:rsidRPr="00341DF6" w:rsidRDefault="007A04CB"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Zhang, L., Chang, S., Khan, M.Z., Feng, Q., Luo, C., Steiner, M., Forel, M.-B., Liu, K., Clausen, S.,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Influence of palaeo-redox and diagenetic conditions on the spatial distribution of Cambrian biotas: A case study from the upper Shuijingtuo Formation (Cambrian Series 2, Stage 3), Three Gorges area of South China. Palaeogeography, Palaeoclimatology, Palaeoecology 548, 109696.</w:t>
      </w:r>
    </w:p>
    <w:p w:rsidR="006C14E0" w:rsidRPr="00341DF6" w:rsidRDefault="006C14E0" w:rsidP="00DB42FE">
      <w:pPr>
        <w:pStyle w:val="EndNoteBibliography"/>
        <w:spacing w:after="120"/>
        <w:ind w:left="720" w:hanging="360"/>
        <w:rPr>
          <w:rFonts w:ascii="Times New Roman" w:hAnsi="Times New Roman" w:cs="Times New Roman"/>
          <w:sz w:val="24"/>
          <w:szCs w:val="24"/>
        </w:rPr>
      </w:pPr>
      <w:r w:rsidRPr="006C14E0">
        <w:rPr>
          <w:rFonts w:ascii="Times New Roman" w:hAnsi="Times New Roman" w:cs="Times New Roman"/>
          <w:sz w:val="24"/>
          <w:szCs w:val="24"/>
        </w:rPr>
        <w:t xml:space="preserve">Zhang, X., Liu, C., Guo, Z., Gui, H., Tian, J., Wu, X., Peng, B., Sun, Y., Ping, Y., </w:t>
      </w:r>
      <w:r w:rsidRPr="00341DF6">
        <w:rPr>
          <w:rFonts w:ascii="Times New Roman" w:hAnsi="Times New Roman" w:cs="Times New Roman"/>
          <w:sz w:val="24"/>
          <w:szCs w:val="24"/>
        </w:rPr>
        <w:t xml:space="preserve">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Characteristics and influencing factors of unconventional hydrocarbon accumulation in saline lacustrine fine-grained sedimentary rocks in the northwestern Qaidam Basin. Energy &amp; Fuels 34, 2726-2738.</w:t>
      </w:r>
    </w:p>
    <w:p w:rsidR="00F13782" w:rsidRPr="00406BD2" w:rsidRDefault="00F13782" w:rsidP="0009337C">
      <w:pPr>
        <w:spacing w:after="240"/>
        <w:ind w:left="360"/>
        <w:rPr>
          <w:szCs w:val="24"/>
        </w:rPr>
      </w:pPr>
    </w:p>
    <w:p w:rsidR="00256CD8" w:rsidRDefault="00256CD8" w:rsidP="0009337C">
      <w:pPr>
        <w:pStyle w:val="H3"/>
        <w:spacing w:before="0" w:after="240"/>
        <w:ind w:left="360"/>
        <w:outlineLvl w:val="0"/>
      </w:pPr>
      <w:r>
        <w:t>Imagin</w:t>
      </w:r>
      <w:r w:rsidR="00BA2195">
        <w:t>g</w:t>
      </w:r>
      <w:r>
        <w:t>: Xray CT</w:t>
      </w:r>
    </w:p>
    <w:p w:rsidR="006F0F1C" w:rsidRPr="00341DF6" w:rsidRDefault="006F0F1C"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Belila, A.M.P., Basso, M., Chinelatto, G.F., Kuroda, M.C., Vidal, A.C., 2020. Pore typing using nuclear magnetic resonance, an example with samples from Cretaceous pre-salt </w:t>
      </w:r>
      <w:r w:rsidRPr="00341DF6">
        <w:rPr>
          <w:rFonts w:ascii="Times New Roman" w:hAnsi="Times New Roman" w:cs="Times New Roman"/>
          <w:sz w:val="24"/>
          <w:szCs w:val="24"/>
        </w:rPr>
        <w:lastRenderedPageBreak/>
        <w:t>lacustrine carbonates in the Santos Basin, Brazil. Journal of Petroleum Science and Engineering 190, 107079.</w:t>
      </w:r>
    </w:p>
    <w:p w:rsidR="006F0F1C" w:rsidRPr="00341DF6" w:rsidRDefault="006F0F1C"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Cloutier, R., Clement, A.M., Lee, M.S.Y., Noël, R., Béchard, I., Roy, V., Long, J.A., 2020. </w:t>
      </w:r>
      <w:r w:rsidRPr="00341DF6">
        <w:rPr>
          <w:rFonts w:ascii="Times New Roman" w:hAnsi="Times New Roman" w:cs="Times New Roman"/>
          <w:i/>
          <w:sz w:val="24"/>
          <w:szCs w:val="24"/>
        </w:rPr>
        <w:t xml:space="preserve">Elpistostege </w:t>
      </w:r>
      <w:r w:rsidRPr="00341DF6">
        <w:rPr>
          <w:rFonts w:ascii="Times New Roman" w:hAnsi="Times New Roman" w:cs="Times New Roman"/>
          <w:sz w:val="24"/>
          <w:szCs w:val="24"/>
        </w:rPr>
        <w:t>and the origin of the vertebrate hand. Nature 579, 549-554.</w:t>
      </w:r>
    </w:p>
    <w:p w:rsidR="006F0F1C" w:rsidRPr="00341DF6" w:rsidRDefault="006F0F1C"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Fang, H., Sang, S., Liu, S., 2020. A methodology for characterizing the multiscale pores and fractures in anthracite and semi-anthracite coals and its application in analysis of the storage and permeable capacity of coalbed methane. SPE-197069-PA 23, 177-186.</w:t>
      </w:r>
    </w:p>
    <w:p w:rsidR="006F0F1C" w:rsidRPr="00341DF6" w:rsidRDefault="006F0F1C"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Hu, Y., Armstrong, R.T., Shikhov, I., Hung, T.T., Lee, B., Mostaghimi, P.,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Unsteady-state coreflooding monitored by positron emission tomography and X-ray computed tomography. SPE-199344-PA 25, 242-252.</w:t>
      </w:r>
    </w:p>
    <w:p w:rsidR="006F0F1C" w:rsidRPr="00341DF6" w:rsidRDefault="006F0F1C"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Katsevich, A., Frenkel, M., Sun, Q., Eichmann, S.L., Prieto, V., 2020. High-quality microCT rock imaging: methodology to measure and correct for X-ray scatter. SPE-199344-PA 25, 226-241.</w:t>
      </w:r>
    </w:p>
    <w:p w:rsidR="006F0F1C" w:rsidRPr="00341DF6" w:rsidRDefault="006F0F1C"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Mahanta, B., Vishal, V., Ranjith, P.G., Singh, T.N., 2020. An insight into pore-network models of high-temperature heat-treated sandstones using computed tomography. Journal of Natural Gas Science and Engineering 77, 103227.</w:t>
      </w:r>
    </w:p>
    <w:p w:rsidR="006F0F1C" w:rsidRPr="00341DF6" w:rsidRDefault="006F0F1C"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Rossi, E., Jamali, S., Saar, M.O., Rudolf von Rohr, P., 2020. Field test of a Combined Thermo-Mechanical Drilling technology. ModeI: Thermal spallation drilling. Journal of Petroleum Science and Engineering 190, 107005.</w:t>
      </w:r>
    </w:p>
    <w:p w:rsidR="006F0F1C" w:rsidRPr="00341DF6" w:rsidRDefault="006F0F1C"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Vogel, G., 2020. Oldest fossil of modern birds is a ‘turducken’. Science 367, 1290.</w:t>
      </w:r>
    </w:p>
    <w:p w:rsidR="006F0F1C" w:rsidRPr="00341DF6" w:rsidRDefault="006F0F1C"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Yan, H., Tian, L., Feng, R., Mitri, H., Chen, J., He, K., Zhang, Y., Yang, S., Xu, Z.,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Liquid nitrogen waterless fracking for the environmental protection of arid areas during unconventional resource extraction. Science of The Total Environment 721, 137719.</w:t>
      </w:r>
    </w:p>
    <w:p w:rsidR="006F0F1C" w:rsidRPr="00341DF6" w:rsidRDefault="006F0F1C"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Zhai, H., Xue, Z., Park, H., Aizawa, Y., Baba, Y., Zhang, Y.,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Migration characteristics of supercritical CO</w:t>
      </w:r>
      <w:r w:rsidRPr="00341DF6">
        <w:rPr>
          <w:rFonts w:ascii="Times New Roman" w:hAnsi="Times New Roman" w:cs="Times New Roman"/>
          <w:sz w:val="24"/>
          <w:szCs w:val="24"/>
          <w:vertAlign w:val="subscript"/>
        </w:rPr>
        <w:t>2</w:t>
      </w:r>
      <w:r w:rsidRPr="00341DF6">
        <w:rPr>
          <w:rFonts w:ascii="Times New Roman" w:hAnsi="Times New Roman" w:cs="Times New Roman"/>
          <w:sz w:val="24"/>
          <w:szCs w:val="24"/>
        </w:rPr>
        <w:t xml:space="preserve"> microbubble flow in the Berea sandstone revealed by voxel-based X-ray computed tomography imaging analysis. Journal of Natural Gas Science and Engineering 77, 103233.</w:t>
      </w:r>
    </w:p>
    <w:p w:rsidR="006F0F1C" w:rsidRPr="00341DF6" w:rsidRDefault="006F0F1C"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Zhou, D., Liu, Z., Feng, Z., Shen, Y., Wu, Y.,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The study of the local area density homogenization effect of meso-structures in coal during methane adsorption. Journal of Petroleum Science and Engineering 191, 107141.</w:t>
      </w:r>
    </w:p>
    <w:p w:rsidR="00256CD8" w:rsidRPr="0083503B" w:rsidRDefault="00256CD8" w:rsidP="0009337C">
      <w:pPr>
        <w:pStyle w:val="EndNoteBibliography"/>
        <w:spacing w:after="240"/>
        <w:ind w:left="360" w:hanging="360"/>
        <w:rPr>
          <w:rFonts w:ascii="Times New Roman" w:hAnsi="Times New Roman" w:cs="Times New Roman"/>
          <w:sz w:val="24"/>
          <w:szCs w:val="24"/>
        </w:rPr>
      </w:pPr>
    </w:p>
    <w:p w:rsidR="001A3A58" w:rsidRDefault="004F22FC" w:rsidP="0009337C">
      <w:pPr>
        <w:pStyle w:val="H3"/>
        <w:spacing w:before="0" w:after="240"/>
        <w:ind w:left="360"/>
        <w:outlineLvl w:val="0"/>
      </w:pPr>
      <w:r>
        <w:t>Liquid C</w:t>
      </w:r>
      <w:r w:rsidR="001A3A58">
        <w:t>hromatography/LC-MS</w:t>
      </w:r>
      <w:r w:rsidR="00EF0D1D">
        <w:t>/SFC</w:t>
      </w:r>
    </w:p>
    <w:p w:rsidR="00F55A9D" w:rsidRPr="00341DF6" w:rsidRDefault="00F55A9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Camperi, J., Dai, L., Guillarme, D., Stella, C., 2020. Development of a 3D-LC/MS workflow for fast, automated, and effective characterization of glycosylation patterns of biotherapeutic products. Analytical Chemistry 92, 4357-4363.</w:t>
      </w:r>
    </w:p>
    <w:p w:rsidR="005C5B53" w:rsidRPr="00341DF6" w:rsidRDefault="005C5B53"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Chapel, S., Rouvière, F., Heinisch, S., 2020. Pushing the limits of resolving power and analysis time in on-line comprehensive hydrophilic interaction x reversed phase liquid chromatography for the analysis of complex peptide samples. Journal of Chromatography A 1615, 460753.</w:t>
      </w:r>
    </w:p>
    <w:p w:rsidR="004F1E0C" w:rsidRPr="00341DF6" w:rsidRDefault="004F1E0C"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lastRenderedPageBreak/>
        <w:t>Goyon, A., Dai, L., Chen, T., Wei, B., Yang, F., Andersen, N., Kopf, R., Leiss, M., Mølhøj, M., Guillarme, D., Stella, C., 2020. From proof of concept to the routine use of an automated and robust multi-dimensional liquid chromatography mass spectrometry workflow applied for the charge variant characterization of therapeutic antibodies. Journal of Chromatography A 1615, 460740.</w:t>
      </w:r>
    </w:p>
    <w:p w:rsidR="00672046" w:rsidRPr="00341DF6" w:rsidRDefault="00672046"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Kanao, E., Kubo, T., Naito, T., Sano, T., Yan, M., Tanaka, N., Otsuka, K., 2020. Tunable liquid chromatographic separation of H/D isotopologues enabled by aromatic π interactions. Analytical Chemistry 92, 4065-4072.</w:t>
      </w:r>
    </w:p>
    <w:p w:rsidR="00672046" w:rsidRPr="00341DF6" w:rsidRDefault="00672046"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Koch, M., Becker, E., Päch, M., Kühn, S., Kirchhoff, E., 2020. Separation of the mineral oil aromatic hydrocarbons of three and more aromatic rings from those of one or two aromatic rings. Journal of Separation Science 43, 1089-1099.</w:t>
      </w:r>
    </w:p>
    <w:p w:rsidR="00F407FD" w:rsidRPr="00341DF6" w:rsidRDefault="00F407F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Pauk, V., Lemr, K., 2020. Investigation of chromatographic peak broadening in supercritical fluid chromatography/atmospheric pressure chemical ionization mass spectrometry. Journal of Separation Science 43, 1190-1194.</w:t>
      </w:r>
    </w:p>
    <w:p w:rsidR="00F407FD" w:rsidRPr="00341DF6" w:rsidRDefault="00F407F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Piendl, S.K., Geissler, D., Weigelt, L., Belder, D., 2020. Multiple heart-cutting two-dimensional chip-HPLC </w:t>
      </w:r>
      <w:r>
        <w:rPr>
          <w:rFonts w:ascii="Times New Roman" w:hAnsi="Times New Roman" w:cs="Times New Roman"/>
          <w:sz w:val="24"/>
          <w:szCs w:val="24"/>
        </w:rPr>
        <w:t>c</w:t>
      </w:r>
      <w:r w:rsidRPr="00341DF6">
        <w:rPr>
          <w:rFonts w:ascii="Times New Roman" w:hAnsi="Times New Roman" w:cs="Times New Roman"/>
          <w:sz w:val="24"/>
          <w:szCs w:val="24"/>
        </w:rPr>
        <w:t>ombined with deep-UV fluorescence and mass spectrometric detection. Analytical Chemistry 92, 3795-3803.</w:t>
      </w:r>
    </w:p>
    <w:p w:rsidR="00123F4A" w:rsidRPr="00341DF6" w:rsidRDefault="00123F4A"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Sun, X.-D., Wu, H.-L., Chen, J.-C., Chen, A.-Q., Chen, Y., Ouyang, Y.-Z., Ding, Y.-J., Yu, R.-Q.,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Exploration advantages of data combination and partition: First chemometric analysis of liquid chromatography–mass spectrometry data in full scan mode with quadruple fragmentor voltages. Analytica Chimica Acta 1110, 158-168.</w:t>
      </w:r>
    </w:p>
    <w:p w:rsidR="001A3A58" w:rsidRDefault="001A3A58" w:rsidP="0009337C">
      <w:pPr>
        <w:spacing w:before="0" w:after="240"/>
        <w:ind w:left="360" w:hanging="360"/>
      </w:pPr>
    </w:p>
    <w:p w:rsidR="001A3A58" w:rsidRDefault="001A3A58" w:rsidP="0009337C">
      <w:pPr>
        <w:pStyle w:val="H3"/>
        <w:spacing w:before="0" w:after="240"/>
        <w:ind w:left="360"/>
        <w:outlineLvl w:val="0"/>
      </w:pPr>
      <w:r>
        <w:t>Mass Spectroscopy/ICR-FTMS</w:t>
      </w:r>
      <w:r w:rsidR="0050037E">
        <w:t>/Orbitrap</w:t>
      </w:r>
    </w:p>
    <w:p w:rsidR="006F0F1C" w:rsidRPr="00341DF6" w:rsidRDefault="006F0F1C"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Ahad, J.M.E., Pakdel, H., Gammon, P.R., Mayer, B., Savard, M.M., Peru, K.M., Headley, J.V., 2020. Distinguishing natural from anthropogenic sources of acid extractable organics in groundwater near oil sands tailings ponds. Environmental Science &amp; Technology 54, 2790-2799.</w:t>
      </w:r>
    </w:p>
    <w:p w:rsidR="006F0F1C" w:rsidRPr="00341DF6" w:rsidRDefault="006F0F1C"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Chacón-Patiño, M.L., Smith, D.F., Hendrickson, C.L., Marshall, A.G., Rodgers, R.P., 2020. Advances in asphaltene petroleomics. Part 4. Compositional trends of solubility subfractions reveal that polyfunctional oxygen-containing compounds drive asphaltene chemistry. Energy &amp; Fuels 34, 3013-3030.</w:t>
      </w:r>
    </w:p>
    <w:p w:rsidR="006F0F1C" w:rsidRPr="00341DF6" w:rsidRDefault="006F0F1C"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Gan, S., Schmidt, F., Heuer, V.B., Goldhammer, T., Witt, M., Hinrichs, K.-U., 2020. Impacts of redox conditions on dissolved organic matter (DOM) quality in marine sediments off the River Rhône, Western Mediterranean Sea. Geochimica et Cosmochimica Acta 276, 151-169.</w:t>
      </w:r>
    </w:p>
    <w:p w:rsidR="00051FE2" w:rsidRPr="00341DF6" w:rsidRDefault="00051FE2"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Gavard, R., Jones, H.E., Palacio Lozano, D.C., Thomas, M.J., Rossell, D., Spencer, S.E.F., Barrow, M.P., 2020. KairosMS: A new solution for the processing of hyphenated ultrahigh resolution mass spectrometry data. Analytical Chemistry 92, 3775-3786.</w:t>
      </w:r>
    </w:p>
    <w:p w:rsidR="00051FE2" w:rsidRPr="00341DF6" w:rsidRDefault="00051FE2"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Mekic, M., Zeng, J., Jiang, B., Li, X., Lazarou, Y.G., Brigante, M., Herrmann, H., Gligorovski, S., 2020. Formation of toxic unsaturated multifunctional and organosulfur </w:t>
      </w:r>
      <w:r w:rsidRPr="00341DF6">
        <w:rPr>
          <w:rFonts w:ascii="Times New Roman" w:hAnsi="Times New Roman" w:cs="Times New Roman"/>
          <w:sz w:val="24"/>
          <w:szCs w:val="24"/>
        </w:rPr>
        <w:lastRenderedPageBreak/>
        <w:t>compounds from the photosensitized processing of fluorene and DMSO at the air-water interface. Journal of Geophysical Research: Atmospheres 125, e2019JD031839.</w:t>
      </w:r>
    </w:p>
    <w:p w:rsidR="006F0F1C" w:rsidRPr="00341DF6" w:rsidRDefault="006F0F1C"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Nai, H., Xin, J., Liu, Y., Zheng, X., Lin, Z., 2020. Distribution and molecular chemodiversity of dissolved organic nitrogen in the vadose zone-groundwater system of a fluvial plain, northern China: Implications for understanding its loss pathway to groundwater. Science of The Total Environment 723, 137928.</w:t>
      </w:r>
    </w:p>
    <w:p w:rsidR="00051FE2" w:rsidRPr="00341DF6" w:rsidRDefault="00051FE2"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Qiu, J., Lü, F., Zhang, H., Huang, Y., Shao, L., He, P., 2020. Persistence of native and bio-derived molecules of dissolved organic matters during simultaneous denitrification and methanogenesis for fresh waste leachate. Water Research 175, 115705.</w:t>
      </w:r>
    </w:p>
    <w:p w:rsidR="00051FE2" w:rsidRPr="00341DF6" w:rsidRDefault="00051FE2"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Selliez, L., Maillard, J., Cherville, B., Gautier, T., Thirkell, L., Gaubicher, B., Schmitz-Afonso, I., Afonso, C., Briois, C., Carrasco, N., 2020. High-resolution mass spectrometry for future space missions: Comparative analysis of complex organic matter with LAb-CosmOrbitrap and laser desorption/ionization Fourier transform ion cyclotron resonance. Rapid Communications in Mass Spectrometry 34, e8645.</w:t>
      </w:r>
    </w:p>
    <w:p w:rsidR="00051FE2" w:rsidRPr="00341DF6" w:rsidRDefault="00051FE2"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Sun, K., Han, L., Yang, Y., Xia, X., Yang, Z., Wu, F., Li, F., Feng, Y., Xing, B.,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Application of hydrochar altered soil microbial community composition and the molecular structure of native soil organic carbon in a paddy soil. Environmental Science &amp; Technology 54, 2715-2725.</w:t>
      </w:r>
    </w:p>
    <w:p w:rsidR="00051FE2" w:rsidRPr="00341DF6" w:rsidRDefault="00051FE2"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Wu, J., Zhang, W., Ma, C., Ren, L., Li, S., Zhang, Y., Shi, Q.,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Separation and characterization of squalene and carotenoids derived sulfides in a low mature crude oil. Fuel 270, 117536.</w:t>
      </w:r>
    </w:p>
    <w:p w:rsidR="00051FE2" w:rsidRPr="00341DF6" w:rsidRDefault="00051FE2"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Zhao, Z., Cheng, X., Hua, X., Jiang, B., Tian, C., Tang, J., Li, Q., Sun, H., Lin, T., Liao, Y., Zhang, G.,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Emerging and legacy per- and polyfluoroalkyl substances in water, sediment, and air of the Bohai Sea and its surrounding rivers. Environmental Pollution 263, 114391.</w:t>
      </w:r>
    </w:p>
    <w:p w:rsidR="00051FE2" w:rsidRPr="00341DF6" w:rsidRDefault="00051FE2"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Zuber, J., Wollmerstädt, H., Kuchling, T., Kureti, S., Rathsack, P., 2020. Analysis of hydrogenation products of biocrude obtained from hydrothermally liquefied algal biomass using Fourier-transform ion cyclotron resonance mass spectrometry. Energy &amp; Fuels 34, 3199-3209.</w:t>
      </w:r>
    </w:p>
    <w:p w:rsidR="0088579A" w:rsidRPr="00296635" w:rsidRDefault="0088579A" w:rsidP="0009337C">
      <w:pPr>
        <w:spacing w:after="240"/>
        <w:ind w:left="360"/>
        <w:rPr>
          <w:szCs w:val="24"/>
        </w:rPr>
      </w:pPr>
    </w:p>
    <w:p w:rsidR="0050037E" w:rsidRDefault="0050037E" w:rsidP="0009337C">
      <w:pPr>
        <w:pStyle w:val="H3"/>
        <w:spacing w:before="0" w:after="240"/>
        <w:ind w:left="360"/>
        <w:outlineLvl w:val="0"/>
      </w:pPr>
      <w:r>
        <w:t>Mass Spectroscopy/Other</w:t>
      </w:r>
    </w:p>
    <w:p w:rsidR="00F55A9D" w:rsidRPr="00341DF6" w:rsidRDefault="00F55A9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Bhosale, S., Manigiri, R., Choudhury, R.P., Bhakthavatsalam, V., 2020. High resolution mass spectrometry and principal component analysis for an exhaustive understanding of acidic species composition in vacuum gas oil samples. Energy &amp; Fuels 34, 2800-2806.</w:t>
      </w:r>
    </w:p>
    <w:p w:rsidR="005C5B53" w:rsidRPr="00341DF6" w:rsidRDefault="005C5B53"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Chua, C.K., Lv, Y., Zhao, W., Ren, Y., Zhang, H.J., 2020. Improving annotation of known-unknowns with accurately reconstructed mass spectra. International Journal of Mass Spectrometry 451, 116321.</w:t>
      </w:r>
    </w:p>
    <w:p w:rsidR="0049088E" w:rsidRPr="00341DF6" w:rsidRDefault="0049088E"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Mikhael, A., Jurcic, K., Schneider, C., Karr, D., Fisher, G.L., Fridgen, T.D., Diego-Taboada, A., Georghiou, P.E., Mackenzie, G., Banoub, J., 2020. Demystifying and unravelling the </w:t>
      </w:r>
      <w:r w:rsidRPr="00341DF6">
        <w:rPr>
          <w:rFonts w:ascii="Times New Roman" w:hAnsi="Times New Roman" w:cs="Times New Roman"/>
          <w:sz w:val="24"/>
          <w:szCs w:val="24"/>
        </w:rPr>
        <w:lastRenderedPageBreak/>
        <w:t>molecular structure of the biopolymer sporopollenin. Rapid Communications in Mass Spectrometry 34, e8740.</w:t>
      </w:r>
    </w:p>
    <w:p w:rsidR="00F407FD" w:rsidRPr="00341DF6" w:rsidRDefault="00F407F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Reinhardt, M., Goetz, W., Thiel, V., 2020. Testing flight-like pyrolysis gas chromatography–mass spectrometry as performed by the Mars Organic Molecule Analyzer onboard the ExoMars 2020 rover on Oxia Planum analog samples. Astrobiology 20, 415-428.</w:t>
      </w:r>
    </w:p>
    <w:p w:rsidR="0050037E" w:rsidRDefault="0050037E" w:rsidP="0009337C">
      <w:pPr>
        <w:spacing w:before="0" w:after="240"/>
        <w:ind w:left="360" w:hanging="360"/>
      </w:pPr>
    </w:p>
    <w:p w:rsidR="00D80692" w:rsidRDefault="00D80692" w:rsidP="0009337C">
      <w:pPr>
        <w:pStyle w:val="H3"/>
        <w:spacing w:before="0" w:after="240"/>
        <w:ind w:left="360"/>
        <w:outlineLvl w:val="0"/>
      </w:pPr>
      <w:r>
        <w:t>Metabolomics/Lipidomics</w:t>
      </w:r>
    </w:p>
    <w:p w:rsidR="002365C5" w:rsidRPr="00341DF6" w:rsidRDefault="002365C5"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Bayram, S., F</w:t>
      </w:r>
      <w:r w:rsidR="00DB42FE" w:rsidRPr="00DB42FE">
        <w:rPr>
          <w:rFonts w:ascii="Times New Roman" w:hAnsi="Times New Roman" w:cs="Times New Roman"/>
          <w:sz w:val="24"/>
          <w:szCs w:val="24"/>
        </w:rPr>
        <w:t>ü</w:t>
      </w:r>
      <w:r w:rsidRPr="00341DF6">
        <w:rPr>
          <w:rFonts w:ascii="Times New Roman" w:hAnsi="Times New Roman" w:cs="Times New Roman"/>
          <w:sz w:val="24"/>
          <w:szCs w:val="24"/>
        </w:rPr>
        <w:t>rst, S., Forbes, M., Kempa, S., 2020. Analyzing central metabolism in ultra-high resolution - at the crossroad of carbon and nitrogen. Molecular Metabolism 33, 38-47.</w:t>
      </w:r>
    </w:p>
    <w:p w:rsidR="002365C5" w:rsidRPr="00341DF6" w:rsidRDefault="002365C5"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O’Shea, K., Misra, B.B., 2020. Software tools, databases and resources in metabolomics: updates from 2018 to 2019. Metabolomics 16, 36.</w:t>
      </w:r>
    </w:p>
    <w:p w:rsidR="002365C5" w:rsidRPr="00341DF6" w:rsidRDefault="002365C5"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Pezzatti, J., Boccard, J., Sanchez, S.C., Gagnebin, Y., Joshi, A., Picard, D., González-Ruiz, V., Rudaz, S., 2020. Implementation of liquid chromatography–high resolution mass spectrometry methods for untargeted metabolomic analyses of biological samples: a tutorial. Analytica Chimica Acta 1105, 28-44.</w:t>
      </w:r>
    </w:p>
    <w:p w:rsidR="002365C5" w:rsidRPr="00341DF6" w:rsidRDefault="002365C5"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Winkler, R., 2020. Processing Metabolomics and Proteomics Data with Open Software: A Practical Guide New Developments in Mass Spectrometry, </w:t>
      </w:r>
      <w:r w:rsidR="00605AC8" w:rsidRPr="00605AC8">
        <w:rPr>
          <w:rFonts w:ascii="Times New Roman" w:hAnsi="Times New Roman" w:cs="Times New Roman"/>
          <w:sz w:val="24"/>
          <w:szCs w:val="24"/>
        </w:rPr>
        <w:t>Royal Society of Chemistry</w:t>
      </w:r>
      <w:r w:rsidR="00605AC8">
        <w:rPr>
          <w:rFonts w:ascii="Times New Roman" w:hAnsi="Times New Roman" w:cs="Times New Roman"/>
          <w:sz w:val="24"/>
          <w:szCs w:val="24"/>
        </w:rPr>
        <w:t xml:space="preserve">, </w:t>
      </w:r>
      <w:r w:rsidRPr="00341DF6">
        <w:rPr>
          <w:rFonts w:ascii="Times New Roman" w:hAnsi="Times New Roman" w:cs="Times New Roman"/>
          <w:sz w:val="24"/>
          <w:szCs w:val="24"/>
        </w:rPr>
        <w:t>441</w:t>
      </w:r>
      <w:r w:rsidR="00605AC8">
        <w:rPr>
          <w:rFonts w:ascii="Times New Roman" w:hAnsi="Times New Roman" w:cs="Times New Roman"/>
          <w:sz w:val="24"/>
          <w:szCs w:val="24"/>
        </w:rPr>
        <w:t xml:space="preserve"> pp</w:t>
      </w:r>
      <w:r w:rsidRPr="00341DF6">
        <w:rPr>
          <w:rFonts w:ascii="Times New Roman" w:hAnsi="Times New Roman" w:cs="Times New Roman"/>
          <w:sz w:val="24"/>
          <w:szCs w:val="24"/>
        </w:rPr>
        <w:t>.</w:t>
      </w:r>
    </w:p>
    <w:p w:rsidR="00F13782" w:rsidRPr="000762C6" w:rsidRDefault="00F13782" w:rsidP="0009337C">
      <w:pPr>
        <w:pStyle w:val="EndNoteBibliography"/>
        <w:spacing w:after="240"/>
        <w:ind w:left="360"/>
        <w:rPr>
          <w:rFonts w:ascii="Times New Roman" w:hAnsi="Times New Roman" w:cs="Times New Roman"/>
          <w:sz w:val="24"/>
          <w:szCs w:val="24"/>
        </w:rPr>
      </w:pPr>
    </w:p>
    <w:p w:rsidR="003308B4" w:rsidRDefault="003308B4" w:rsidP="00F55A9D">
      <w:pPr>
        <w:pStyle w:val="H3"/>
        <w:spacing w:before="0" w:after="240"/>
        <w:ind w:hanging="360"/>
      </w:pPr>
      <w:r>
        <w:t>Puppyomics</w:t>
      </w:r>
    </w:p>
    <w:p w:rsidR="002365C5" w:rsidRPr="00341DF6" w:rsidRDefault="002365C5"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Prassack, K.A., DuBois, J., Lázničková-Galetová, M., Germonpré, M., Ungar, P.S., 2020. Dental microwear as a behavioral proxy for distinguishing between canids at the Upper Paleolithic (Gravettian) site of Předmostí, Czech Republic. Journal of Archaeological Science 115, 105092.</w:t>
      </w:r>
    </w:p>
    <w:p w:rsidR="002365C5" w:rsidRPr="00341DF6" w:rsidRDefault="002365C5"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Karp, D., 2020. Detecting small and cryptic animals by combining thermography and a wildlife detection dog. Scientific Reports 10, 5220.</w:t>
      </w:r>
    </w:p>
    <w:p w:rsidR="002365C5" w:rsidRPr="00341DF6" w:rsidRDefault="002365C5"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Hansen Wheat, C., Temrin, H., 2020. Intrinsic ball retrieving in wolf puppies suggests standing ancestral variation for human-directed play behavior. iScience 23, 100811.</w:t>
      </w:r>
    </w:p>
    <w:p w:rsidR="002365C5" w:rsidRPr="00341DF6" w:rsidRDefault="002365C5"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Salonen, M., Sulkama, S., Mikkola, S., Puurunen, J., Hakanen, E., Tiira, K., Araujo, C., Lohi, H., 2020. Prevalence, comorbidity, and breed differences in canine anxiety in 13,700 Finnish pet dogs. Scientific Reports 10, 2962.</w:t>
      </w:r>
    </w:p>
    <w:p w:rsidR="003308B4" w:rsidRPr="00EC0DE3" w:rsidRDefault="003308B4" w:rsidP="005765D4">
      <w:pPr>
        <w:spacing w:before="0" w:after="240"/>
        <w:ind w:left="720" w:hanging="360"/>
      </w:pPr>
    </w:p>
    <w:p w:rsidR="001A3A58" w:rsidRDefault="001A3A58" w:rsidP="008741AD">
      <w:pPr>
        <w:pStyle w:val="H2"/>
        <w:spacing w:before="0" w:after="240"/>
        <w:ind w:left="720" w:hanging="720"/>
        <w:outlineLvl w:val="0"/>
      </w:pPr>
      <w:r>
        <w:t>Archaeological/Art Organic Chemistry</w:t>
      </w:r>
    </w:p>
    <w:p w:rsidR="0017154A" w:rsidRPr="00341DF6" w:rsidRDefault="0017154A"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Admiraal, M., Lucquin, A., Drieu, L., Casale, S., Jordan, P.D., Craig, O.E., 2020. Leftovers: The presence of manufacture-derived aquatic lipids in Alaskan pottery. Archaeometry 62, 346-361.</w:t>
      </w:r>
    </w:p>
    <w:p w:rsidR="00F55A9D" w:rsidRPr="00341DF6" w:rsidRDefault="00F55A9D"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lastRenderedPageBreak/>
        <w:t>Calvano, C.D., Rigante, E., Picca, R.A., Cataldi, T.R.I., Sabbatini, L., 2020. An easily transferable protocol for in-situ quasi-non-invasive analysis of protein binders in works of art. Talanta 215, 120882.</w:t>
      </w:r>
    </w:p>
    <w:p w:rsidR="005C5B53" w:rsidRPr="00341DF6" w:rsidRDefault="005C5B53"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Casoli, A., Volpin, S., 2020. Materials and paint technique of a special masterpiece: Jacopo Tintoretto’s</w:t>
      </w:r>
      <w:r w:rsidRPr="00341DF6">
        <w:rPr>
          <w:rFonts w:ascii="Times New Roman" w:hAnsi="Times New Roman" w:cs="Times New Roman"/>
          <w:i/>
          <w:sz w:val="24"/>
          <w:szCs w:val="24"/>
        </w:rPr>
        <w:t xml:space="preserve"> The wedding Feast at Cana in Venice</w:t>
      </w:r>
      <w:r w:rsidRPr="00341DF6">
        <w:rPr>
          <w:rFonts w:ascii="Times New Roman" w:hAnsi="Times New Roman" w:cs="Times New Roman"/>
          <w:sz w:val="24"/>
          <w:szCs w:val="24"/>
        </w:rPr>
        <w:t>. International Journal of Conservation Science 11, 3-14.</w:t>
      </w:r>
    </w:p>
    <w:p w:rsidR="005C5B53" w:rsidRPr="00341DF6" w:rsidRDefault="005C5B53"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Ciofalo, A.J., Sinelli, P.T., Hofman, C.L., 2020. Starchy shells: Residue analysis of precolonial northern Caribbean culinary practices. Archaeometry 62, 362-380.</w:t>
      </w:r>
    </w:p>
    <w:p w:rsidR="005C5B53" w:rsidRPr="00341DF6" w:rsidRDefault="005C5B53"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Connan, J., Priestman, S., Vosmer, T., Komoot, A., Tofighian, H., Ghorbani, B., Engel, M.H., Zumberge, A., van de Velde, T., 2020. Geochemical analysis of bitumen from West Asian torpedo jars from the c. 8th century Phanom-Surin shipwreck in Thailand. Journal of Archaeological Science 117, 105111.</w:t>
      </w:r>
    </w:p>
    <w:p w:rsidR="005C5B53" w:rsidRPr="00341DF6" w:rsidRDefault="005C5B53"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Dighe, B., Singh, M.R., 2020. Initial evidence of plant and animal-origin organic additives from the second-century BCE earthen plaster of rock-cut caves of Karla, India. Archaeometry 62, 381-394.</w:t>
      </w:r>
    </w:p>
    <w:p w:rsidR="00BE7B53" w:rsidRPr="00341DF6" w:rsidRDefault="00BE7B53"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Jiménez-Brobeil, S.A., Maroto, R.M., Laffranchi, Z., Roca, M.G., Granados Torres, A., Delgado Huertas, A., 2020. Exploring diet in an isolated medieval rural community of Northern Iberia: The case study of San Baudelio de Berlanga (Soria, Spain). Journal of Archaeological Science: Reports 30, 102218.</w:t>
      </w:r>
    </w:p>
    <w:p w:rsidR="00672046" w:rsidRPr="00341DF6" w:rsidRDefault="00672046"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Kozowyk, P.R.B., Langejans, G.H.J., Dusseldorp, G.L., Niekus, M.J.L.T., 2020. Reply to Schmidt et al.: Interpretation of Paleolithic adhesive production: Combining experimental and paleoenvironmental information. Proceedings of the National Academy of Sciences 117, 4458-4459.</w:t>
      </w:r>
    </w:p>
    <w:p w:rsidR="00F15A92" w:rsidRPr="00341DF6" w:rsidRDefault="00F15A92"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Maitland, B.A., Tune, J.W., Grubb, M.P., 2020. Identification of the natural origin of waterproofing pine pitch in historical Southwest Native American basketry through gas chromatography-mass spectrometry. Journal of Archaeological Science: Reports 30, 102190.</w:t>
      </w:r>
    </w:p>
    <w:p w:rsidR="00F407FD" w:rsidRPr="00341DF6" w:rsidRDefault="00F407FD"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Nicholls, R., Buckberry, J., Beaumont, J., Črešnar, M., Mason, P., Armit, I., Koon, H., 2020. A carbon and nitrogen isotopic investigation of a case of probable infantile scurvy (6th–4th centuries BC, Slovenia). Journal of Archaeological Science: Reports 30, 102206.</w:t>
      </w:r>
    </w:p>
    <w:p w:rsidR="00F407FD" w:rsidRPr="00341DF6" w:rsidRDefault="00F407FD"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Prassack, K.A., DuBois, J., Lázničková-Galetová, M., Germonpré, M., Ungar, P.S., 2020. Dental microwear as a behavioral proxy for distinguishing between canids at the Upper Paleolithic (Gravettian) site of Předmostí, Czech Republic. Journal of Archaeological Science 115, 105092.</w:t>
      </w:r>
    </w:p>
    <w:p w:rsidR="005D79ED" w:rsidRPr="00341DF6" w:rsidRDefault="005D79ED"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Schmidt, P., Rageot, M., Blessing, M., Tennie, C., 2020. The Zandmotor data do not resolve the question whether Middle Paleolithic birch tar making was complex or not. Proceedings of the National Academy of Sciences 117, 4456-4457.</w:t>
      </w:r>
    </w:p>
    <w:p w:rsidR="00911845" w:rsidRPr="00341DF6" w:rsidRDefault="00911845"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Wilkin, S., Ventresca Miller, A., Taylor, W.T.T., Miller, B.K., Hagan, R.W., Bleasdale, M., Scott, A., Gankhuyg, S., Ramsøe, A., Uliziibayar, S., Trachsel, C., Nanni, P., Grossmann, J., Orlando, L., Horton, M., Stockhammer, P.W., Myagmar, E., Boivin, N., Warinner, C., Hendy, J., 2020. Dairy pastoralism sustained eastern Eurasian steppe populations for 5,000 years. Nature Ecology &amp; Evolution 4, 346-355.</w:t>
      </w:r>
    </w:p>
    <w:p w:rsidR="00911845" w:rsidRPr="00341DF6" w:rsidRDefault="00911845"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lastRenderedPageBreak/>
        <w:t>Yatsishina, E.B., Pozhidaev, V.M., Sergeeva, Y.E., Malakhov, S.N., Slushnaya, I.S., 2020. An integrated study of the hair coating of ancient Egyptian mummies. Journal of Analytical Chemistry 75, 262-274.</w:t>
      </w:r>
    </w:p>
    <w:p w:rsidR="001A3A58" w:rsidRDefault="001A3A58" w:rsidP="008741AD">
      <w:pPr>
        <w:spacing w:before="0" w:after="240"/>
        <w:ind w:left="720" w:hanging="720"/>
      </w:pPr>
    </w:p>
    <w:p w:rsidR="001A3A58" w:rsidRDefault="001A3A58" w:rsidP="008741AD">
      <w:pPr>
        <w:pStyle w:val="H2"/>
        <w:spacing w:before="0" w:after="240"/>
        <w:ind w:left="720" w:hanging="720"/>
        <w:outlineLvl w:val="0"/>
      </w:pPr>
      <w:r>
        <w:t>Biochemistry</w:t>
      </w:r>
    </w:p>
    <w:p w:rsidR="00BB53BD" w:rsidRPr="00341DF6" w:rsidRDefault="00BB53BD"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 xml:space="preserve">Alicandri, E., Paolacci, A.R., Osadolor, S., Sorgonà, A., Badiani, M., Ciaffi, M., 2020. On the evolution and functional diversity of terpene synthases in the </w:t>
      </w:r>
      <w:r w:rsidRPr="00341DF6">
        <w:rPr>
          <w:rFonts w:ascii="Times New Roman" w:hAnsi="Times New Roman" w:cs="Times New Roman"/>
          <w:i/>
          <w:sz w:val="24"/>
          <w:szCs w:val="24"/>
        </w:rPr>
        <w:t xml:space="preserve">Pinus </w:t>
      </w:r>
      <w:r w:rsidRPr="00341DF6">
        <w:rPr>
          <w:rFonts w:ascii="Times New Roman" w:hAnsi="Times New Roman" w:cs="Times New Roman"/>
          <w:sz w:val="24"/>
          <w:szCs w:val="24"/>
        </w:rPr>
        <w:t>species: A review. Journal of Molecular Evolution 88, 253-283.</w:t>
      </w:r>
    </w:p>
    <w:p w:rsidR="00F55A9D" w:rsidRPr="00341DF6" w:rsidRDefault="00F55A9D"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Brown, T.A., Rad-Menéndez, C., Ray, J.L., Skaar, K.S., Thomas, N., Ruiz-Gonzalez, C., Leu, E., 2020. Influence of nutrient availability on Arctic sea ice diatom HBI lipid synthesis. Organic Geochemistry 141, 103977.</w:t>
      </w:r>
    </w:p>
    <w:p w:rsidR="006A33BC" w:rsidRPr="00341DF6" w:rsidRDefault="006A33BC"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 xml:space="preserve">Ergal, I., Reischl, B., Hasibar, B., Manoharan, L., Zipperle, A., Bochmann, G., Fuchs, W., Rittmann, K.M.R.S., 2020. Formate utilization by the crenarchaeon </w:t>
      </w:r>
      <w:r w:rsidRPr="00341DF6">
        <w:rPr>
          <w:rFonts w:ascii="Times New Roman" w:hAnsi="Times New Roman" w:cs="Times New Roman"/>
          <w:i/>
          <w:sz w:val="24"/>
          <w:szCs w:val="24"/>
        </w:rPr>
        <w:t>Desulfurococcus amylolyticus</w:t>
      </w:r>
      <w:r w:rsidRPr="00341DF6">
        <w:rPr>
          <w:rFonts w:ascii="Times New Roman" w:hAnsi="Times New Roman" w:cs="Times New Roman"/>
          <w:sz w:val="24"/>
          <w:szCs w:val="24"/>
        </w:rPr>
        <w:t>. Microorganisms 8, 454.</w:t>
      </w:r>
    </w:p>
    <w:p w:rsidR="00DF0DA9" w:rsidRPr="00341DF6" w:rsidRDefault="00DF0DA9"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 xml:space="preserve">Hu, X., Kerckhof, F.-M., Ghesquière, J., Bernaerts, K., Boeckx, P., Clauwaert, P., Boon, N.,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Microbial protein out of thin air: Fixation of nitrogen gas by an autotrophic hydrogen-oxidizing bacterial enrichment. Environmental Science &amp; Technology 54, 3609-3617.</w:t>
      </w:r>
    </w:p>
    <w:p w:rsidR="00DF0DA9" w:rsidRPr="00341DF6" w:rsidRDefault="00DF0DA9"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 xml:space="preserve">Jain, A., Gralnick, J.A., 2020. Evidence for auxiliary anaerobic metabolism in obligately aerobic </w:t>
      </w:r>
      <w:r w:rsidRPr="00341DF6">
        <w:rPr>
          <w:rFonts w:ascii="Times New Roman" w:hAnsi="Times New Roman" w:cs="Times New Roman"/>
          <w:i/>
          <w:sz w:val="24"/>
          <w:szCs w:val="24"/>
        </w:rPr>
        <w:t>Zetaproteobacteria</w:t>
      </w:r>
      <w:r w:rsidRPr="00341DF6">
        <w:rPr>
          <w:rFonts w:ascii="Times New Roman" w:hAnsi="Times New Roman" w:cs="Times New Roman"/>
          <w:sz w:val="24"/>
          <w:szCs w:val="24"/>
        </w:rPr>
        <w:t>. The ISME Journal 14, 1057-1062.</w:t>
      </w:r>
    </w:p>
    <w:p w:rsidR="00672046" w:rsidRPr="00341DF6" w:rsidRDefault="00672046"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Kochetkova, T.V., Mardanov, A.V., Sokolova, T.G., Bonch-Osmolovskaya, E.A., Kublanov, I.V., Kevbrin, V.V., Beletsky, A.V., Ravin, N.V., Lebedinsky, A.V., 2020. The first crenarchaeon capable of growth by anaerobic carbon monoxide oxidation coupled with H</w:t>
      </w:r>
      <w:r w:rsidRPr="00341DF6">
        <w:rPr>
          <w:rFonts w:ascii="Times New Roman" w:hAnsi="Times New Roman" w:cs="Times New Roman"/>
          <w:sz w:val="24"/>
          <w:szCs w:val="24"/>
          <w:vertAlign w:val="subscript"/>
        </w:rPr>
        <w:t>2</w:t>
      </w:r>
      <w:r w:rsidRPr="00341DF6">
        <w:rPr>
          <w:rFonts w:ascii="Times New Roman" w:hAnsi="Times New Roman" w:cs="Times New Roman"/>
          <w:sz w:val="24"/>
          <w:szCs w:val="24"/>
        </w:rPr>
        <w:t xml:space="preserve"> production. Systematic and Applied Microbiology 43, 126064.</w:t>
      </w:r>
    </w:p>
    <w:p w:rsidR="00672046" w:rsidRPr="00341DF6" w:rsidRDefault="00672046"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Lamprecht-Grandío, M., Cortesão, M., Mirete, S., de la Cámara, M.B., de Figueras, C.G., Pérez-Pantoja, D., White, J.J., Farías, M.E., Rosselló-Móra, R., González-Pastor, J.E., 2020. Novel genes involved in resistance to both ultraviolet radiation and perchlorate from the metagenomes of hypersaline environments. Frontiers in Microbiology 11, 453. doi: 410.3389/fmicb.2020.00453.</w:t>
      </w:r>
    </w:p>
    <w:p w:rsidR="0049088E" w:rsidRPr="00341DF6" w:rsidRDefault="0049088E"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Mikhael, A., Jurcic, K., Schneider, C., Karr, D., Fisher, G.L., Fridgen, T.D., Diego-Taboada, A., Georghiou, P.E., Mackenzie, G., Banoub, J., 2020. Demystifying and unravelling the molecular structure of the biopolymer sporopollenin. Rapid Communications in Mass Spectrometry 34, e8740.</w:t>
      </w:r>
    </w:p>
    <w:p w:rsidR="0049088E" w:rsidRPr="00341DF6" w:rsidRDefault="0049088E"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Monteil, C.L., Lefevre, C.T., 2020. Magnetoreception in microorganisms. Trends in Microbiology 28, 266-275.</w:t>
      </w:r>
    </w:p>
    <w:p w:rsidR="00F407FD" w:rsidRPr="00341DF6" w:rsidRDefault="00F407FD"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Niedzwiedzki, D.M., Swainsbury, D.J.K., Canniffe, D.P., Hunter, C.N., Hitchcock, A., 2020. A photosynthetic antenna complex foregoes unity carotenoid-to-bacteriochlorophyll energy transfer efficiency to ensure photoprotection. Proceedings of the National Academy of Sciences 117, 6502-6508.</w:t>
      </w:r>
    </w:p>
    <w:p w:rsidR="00BC6CFF" w:rsidRPr="00341DF6" w:rsidRDefault="00BC6CFF"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lastRenderedPageBreak/>
        <w:t>Son, M., Pinnola, A., Gordon, S.C., Bassi, R., Schlau-Cohen, G.S., 2020. Observation of dissipative chlorophyll-to-carotenoid energy transfer in light-harvesting complex II in membrane nanodiscs. Nature Communications 11, 1295.</w:t>
      </w:r>
    </w:p>
    <w:p w:rsidR="00C90188" w:rsidRPr="00341DF6" w:rsidRDefault="00C90188"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 xml:space="preserve">Zhang, L.-S., Liang, S., Zong, M.-H., Yang, J.-G., Lou, W.-Y.,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Microbial synthesis of functional odd-chain fatty acids: a review. World Journal of Microbiology and Biotechnology 36, 35.</w:t>
      </w:r>
    </w:p>
    <w:p w:rsidR="001A3A58" w:rsidRDefault="001A3A58" w:rsidP="005765D4">
      <w:pPr>
        <w:widowControl/>
        <w:spacing w:before="0" w:after="240"/>
        <w:ind w:left="360" w:hanging="360"/>
      </w:pPr>
    </w:p>
    <w:p w:rsidR="001A3A58" w:rsidRDefault="001A3A58" w:rsidP="008741AD">
      <w:pPr>
        <w:pStyle w:val="H2"/>
        <w:spacing w:before="0" w:after="240"/>
        <w:ind w:left="720" w:hanging="720"/>
        <w:outlineLvl w:val="0"/>
      </w:pPr>
      <w:r>
        <w:t>Biodegradation</w:t>
      </w:r>
    </w:p>
    <w:p w:rsidR="00F55A9D" w:rsidRPr="00341DF6" w:rsidRDefault="00F55A9D"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 xml:space="preserve">Beschkov, V., Alexieva, Z., Parvanova-Mancheva, T., Vasileva, E., Gerginova, M., Peneva, N., Stoyanova, K., 2020. Phenol biodegradation by the strain </w:t>
      </w:r>
      <w:r w:rsidRPr="00341DF6">
        <w:rPr>
          <w:rFonts w:ascii="Times New Roman" w:hAnsi="Times New Roman" w:cs="Times New Roman"/>
          <w:i/>
          <w:sz w:val="24"/>
          <w:szCs w:val="24"/>
        </w:rPr>
        <w:t>Pseudomonas putida</w:t>
      </w:r>
      <w:r w:rsidRPr="00341DF6">
        <w:rPr>
          <w:rFonts w:ascii="Times New Roman" w:hAnsi="Times New Roman" w:cs="Times New Roman"/>
          <w:sz w:val="24"/>
          <w:szCs w:val="24"/>
        </w:rPr>
        <w:t xml:space="preserve"> affected by constant electric field. International Journal of Environmental Science and Technology 17, 1929-1936.</w:t>
      </w:r>
    </w:p>
    <w:p w:rsidR="006A33BC" w:rsidRPr="00341DF6" w:rsidRDefault="006A33BC"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 xml:space="preserve">Emelyanova, E.V., Solyanikova, I.P., 2020. Evaluation of phenol-degradation activity of </w:t>
      </w:r>
      <w:r w:rsidRPr="00341DF6">
        <w:rPr>
          <w:rFonts w:ascii="Times New Roman" w:hAnsi="Times New Roman" w:cs="Times New Roman"/>
          <w:i/>
          <w:sz w:val="24"/>
          <w:szCs w:val="24"/>
        </w:rPr>
        <w:t xml:space="preserve">Rhodococcus opacus </w:t>
      </w:r>
      <w:r w:rsidRPr="00341DF6">
        <w:rPr>
          <w:rFonts w:ascii="Times New Roman" w:hAnsi="Times New Roman" w:cs="Times New Roman"/>
          <w:sz w:val="24"/>
          <w:szCs w:val="24"/>
        </w:rPr>
        <w:t>1CP using immobilized and intact cells. International Journal of Environmental Science and Technology 17, 2279-2294.</w:t>
      </w:r>
    </w:p>
    <w:p w:rsidR="004F1E0C" w:rsidRPr="00341DF6" w:rsidRDefault="004F1E0C"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Giacomucci, L., Raddadi, N., Soccio, M., Lotti, N., Fava, F., 2020. Biodegradation of polyvinyl chloride plastic films by enriched anaerobic marine consortia. Marine Environmental Research 158, 104949.</w:t>
      </w:r>
    </w:p>
    <w:p w:rsidR="00F963EF" w:rsidRPr="00404980" w:rsidRDefault="00F963EF" w:rsidP="004872E2">
      <w:pPr>
        <w:pStyle w:val="EndNoteBibliography"/>
        <w:spacing w:after="120"/>
        <w:ind w:left="360" w:hanging="360"/>
        <w:rPr>
          <w:rFonts w:ascii="Times New Roman" w:hAnsi="Times New Roman" w:cs="Times New Roman"/>
          <w:sz w:val="24"/>
          <w:szCs w:val="24"/>
        </w:rPr>
      </w:pPr>
      <w:r w:rsidRPr="00404980">
        <w:rPr>
          <w:rFonts w:ascii="Times New Roman" w:hAnsi="Times New Roman" w:cs="Times New Roman"/>
          <w:sz w:val="24"/>
          <w:szCs w:val="24"/>
        </w:rPr>
        <w:t>Sánchez, C., 2020. Fungal potential for the degradation of petroleum-based polymers: An overview of macro- and microplastics biodegradation. Biotechnology Advances 40, 107501.</w:t>
      </w:r>
    </w:p>
    <w:p w:rsidR="00BC6CFF" w:rsidRPr="00341DF6" w:rsidRDefault="00BC6CFF"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Shahebrahimi, Y., Fazlali, A., Motamedi, H., Kord, S., Mohammadi, A.H., 2020. Effect of various isolated microbial consortiums on the biodegradation process of precipitated asphaltenes from crude oil. ACS Omega 5, 3131-3143.</w:t>
      </w:r>
    </w:p>
    <w:p w:rsidR="00123F4A" w:rsidRPr="00341DF6" w:rsidRDefault="00123F4A"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Van Leeuwen, J.A., Hartog, N., Gerritse, J., Gallacher, C., Helmus, R., Brock, O., Parsons, J.R., Hassanizadeh, S.M., 2020. The dissolution and microbial degradation of mobile aromatic hydrocarbons from a Pintsch gas tar DNAPL source zone. Science of The Total Environment 722, 137797.</w:t>
      </w:r>
    </w:p>
    <w:p w:rsidR="001A3A58" w:rsidRDefault="001A3A58" w:rsidP="008741AD">
      <w:pPr>
        <w:spacing w:before="0" w:after="240"/>
        <w:ind w:left="720" w:hanging="720"/>
      </w:pPr>
    </w:p>
    <w:p w:rsidR="00B415B3" w:rsidRDefault="00B415B3" w:rsidP="00F55A9D">
      <w:pPr>
        <w:pStyle w:val="H3"/>
        <w:spacing w:before="0" w:after="240"/>
        <w:ind w:hanging="360"/>
      </w:pPr>
      <w:r>
        <w:t>Biodegradation Pathways/Genomics</w:t>
      </w:r>
    </w:p>
    <w:p w:rsidR="005C5B53" w:rsidRPr="00341DF6" w:rsidRDefault="005C5B53"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Chen, G., Fisch, A.R., Gibson, C.M., Erin Mack, E., Seger, E.S., Campagna, S.R., Löffler, F.E.,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Mineralization versus fermentation: evidence for two distinct anaerobic bacterial degradation pathways for dichloromethane. The ISME Journal 14, 959-970.</w:t>
      </w:r>
    </w:p>
    <w:p w:rsidR="004F1E0C" w:rsidRPr="00341DF6" w:rsidRDefault="004F1E0C"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Granja-Travez, R.S., Persinoti, G.F., Squina, F.M., Bugg, T.D.H., 2020. Functional genomic analysis of bacterial lignin degraders: diversity in mechanisms of lignin oxidation and metabolism. Applied Microbiology and Biotechnology 104, 3305-3320.</w:t>
      </w:r>
    </w:p>
    <w:p w:rsidR="00B415B3" w:rsidRDefault="00B415B3" w:rsidP="008741AD">
      <w:pPr>
        <w:spacing w:before="0" w:after="240"/>
        <w:ind w:left="720" w:hanging="720"/>
      </w:pPr>
    </w:p>
    <w:p w:rsidR="001A3A58" w:rsidRDefault="001A3A58" w:rsidP="008741AD">
      <w:pPr>
        <w:pStyle w:val="H2"/>
        <w:spacing w:before="0" w:after="240"/>
        <w:ind w:left="720" w:hanging="720"/>
        <w:outlineLvl w:val="0"/>
      </w:pPr>
      <w:r>
        <w:lastRenderedPageBreak/>
        <w:t>Biofuels/Biomass</w:t>
      </w:r>
      <w:r w:rsidR="000D05CF">
        <w:t>/Bioengineering</w:t>
      </w:r>
    </w:p>
    <w:p w:rsidR="00F963EF" w:rsidRDefault="00F963EF" w:rsidP="004872E2">
      <w:pPr>
        <w:pStyle w:val="EndNoteBibliography"/>
        <w:spacing w:after="120"/>
        <w:ind w:left="360" w:hanging="360"/>
        <w:rPr>
          <w:rFonts w:ascii="Times New Roman" w:hAnsi="Times New Roman" w:cs="Times New Roman"/>
          <w:sz w:val="24"/>
          <w:szCs w:val="24"/>
        </w:rPr>
      </w:pPr>
      <w:r w:rsidRPr="00404980">
        <w:rPr>
          <w:rFonts w:ascii="Times New Roman" w:hAnsi="Times New Roman" w:cs="Times New Roman"/>
          <w:sz w:val="24"/>
          <w:szCs w:val="24"/>
        </w:rPr>
        <w:t>Arora, D., Gupta, P., Jaglan, S., Roullier, C., Grovel, O., Bertrand, S., 2020. Expanding the chemical diversity through microorganisms co-culture: Current status and outlook. Biotechnology Advances 40, 10752</w:t>
      </w:r>
      <w:r>
        <w:rPr>
          <w:rFonts w:ascii="Times New Roman" w:hAnsi="Times New Roman" w:cs="Times New Roman"/>
          <w:sz w:val="24"/>
          <w:szCs w:val="24"/>
        </w:rPr>
        <w:t>1.</w:t>
      </w:r>
    </w:p>
    <w:p w:rsidR="005C5B53" w:rsidRPr="00341DF6" w:rsidRDefault="005C5B53"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Cann, I., Pereira, G.V., Abdel-Hamid, A.M., Kim, H., Wefers, D., Kayang, B.B., Kanai, T., Sato, T., Bernardi, R.C., Atomi, H., Mackie, R.I., 2020. Thermophilic degradation of hemicellulose, a critical feedstock in the production of bioenergy and other value-added products. Applied and Environmental Microbiology 86, e02296-02219.</w:t>
      </w:r>
    </w:p>
    <w:p w:rsidR="00DF0DA9" w:rsidRPr="00341DF6" w:rsidRDefault="00DF0DA9"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Ibrar, M., Ullah, M.W., Manan, S., Farooq, U., Rafiq, M., Hasan, F., 2020. Fungi from the extremes of life: an untapped treasure for bioactive compounds. Applied Microbiology and Biotechnology 104, 2777-2801.</w:t>
      </w:r>
    </w:p>
    <w:p w:rsidR="00672046" w:rsidRPr="00341DF6" w:rsidRDefault="00672046"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Khoo, K.S., Chew, K.W., Yew, G.Y., Leong, W.H., Chai, Y.H., Show, P.L., Chen, W.-H., 2020. Recent advances in downstream processing of microalgae lipid recovery for biofuel production. Bioresource Technology 304, 122996.</w:t>
      </w:r>
    </w:p>
    <w:p w:rsidR="0064405D" w:rsidRPr="00341DF6" w:rsidRDefault="0064405D"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 xml:space="preserve">Liu, P., Wang, Y., Zhou, Z., Yuan, H., Zheng, T., Chen, Y.,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Effect of carbon structure on hydrogen release derived from different biomass pyrolysis. Fuel 271, 117638.</w:t>
      </w:r>
    </w:p>
    <w:p w:rsidR="0049088E" w:rsidRPr="00341DF6" w:rsidRDefault="0049088E"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Mei, Y., Zhang, S., Wang, H., Jing, S., Hou, T., Pang, S., 2020. Low-temperature deoxidization of lignin and its impact on liquid products from pyrolysis. Energy &amp; Fuels 34, 3422-3428.</w:t>
      </w:r>
    </w:p>
    <w:p w:rsidR="0049088E" w:rsidRPr="00341DF6" w:rsidRDefault="0049088E"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 xml:space="preserve">Mendonca, C.M., Wilkes, R.A., Aristilde, L., 2020. Advancements in </w:t>
      </w:r>
      <w:r w:rsidRPr="00341DF6">
        <w:rPr>
          <w:rFonts w:ascii="Times New Roman" w:hAnsi="Times New Roman" w:cs="Times New Roman"/>
          <w:sz w:val="24"/>
          <w:szCs w:val="24"/>
          <w:vertAlign w:val="superscript"/>
        </w:rPr>
        <w:t>13</w:t>
      </w:r>
      <w:r w:rsidRPr="00341DF6">
        <w:rPr>
          <w:rFonts w:ascii="Times New Roman" w:hAnsi="Times New Roman" w:cs="Times New Roman"/>
          <w:sz w:val="24"/>
          <w:szCs w:val="24"/>
        </w:rPr>
        <w:t xml:space="preserve">C isotope tracking of synergistic substrate co-utilization in </w:t>
      </w:r>
      <w:r w:rsidRPr="00341DF6">
        <w:rPr>
          <w:rFonts w:ascii="Times New Roman" w:hAnsi="Times New Roman" w:cs="Times New Roman"/>
          <w:i/>
          <w:sz w:val="24"/>
          <w:szCs w:val="24"/>
        </w:rPr>
        <w:t xml:space="preserve">Pseudomonas </w:t>
      </w:r>
      <w:r w:rsidRPr="00341DF6">
        <w:rPr>
          <w:rFonts w:ascii="Times New Roman" w:hAnsi="Times New Roman" w:cs="Times New Roman"/>
          <w:sz w:val="24"/>
          <w:szCs w:val="24"/>
        </w:rPr>
        <w:t>species and implications for biotechnology applications. Current Opinion in Biotechnology 64, 124-133.</w:t>
      </w:r>
    </w:p>
    <w:p w:rsidR="0049088E" w:rsidRPr="00341DF6" w:rsidRDefault="0049088E"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Moradali, M.F., Rehm, B.H.A., 2020. Bacterial biopolymers: from pathogenesis to advanced materials. Nature Reviews Microbiology 18, 195-210.</w:t>
      </w:r>
    </w:p>
    <w:p w:rsidR="00F963EF" w:rsidRPr="00404980" w:rsidRDefault="00F963EF" w:rsidP="004872E2">
      <w:pPr>
        <w:pStyle w:val="EndNoteBibliography"/>
        <w:spacing w:after="120"/>
        <w:ind w:left="360" w:hanging="360"/>
        <w:rPr>
          <w:rFonts w:ascii="Times New Roman" w:hAnsi="Times New Roman" w:cs="Times New Roman"/>
          <w:sz w:val="24"/>
          <w:szCs w:val="24"/>
        </w:rPr>
      </w:pPr>
      <w:r w:rsidRPr="00404980">
        <w:rPr>
          <w:rFonts w:ascii="Times New Roman" w:hAnsi="Times New Roman" w:cs="Times New Roman"/>
          <w:sz w:val="24"/>
          <w:szCs w:val="24"/>
        </w:rPr>
        <w:t>Park, H., Park, G., Jeon, W., Ahn, J.-O., Yang, Y.-H., Choi, K.-Y., 2020. Whole-cell biocatalysis using cytochrome P450 monooxygenases for biotransformation of sustainable bioresources (fatty acids, fatty alkanes, and aromatic amino acids). Biotechnology Advances 40, 107504.</w:t>
      </w:r>
    </w:p>
    <w:p w:rsidR="00F407FD" w:rsidRPr="00341DF6" w:rsidRDefault="00F407FD"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Pasternak, G., Askitosari, T.D., Rosenbaum, M.A., 2020. Biosurfactants and synthetic surfactants in bioelectrochemical systems: A mini-review. Frontiers in Microbiology 11, 358. doi: 310.3389/fmicb.2020.00358.</w:t>
      </w:r>
    </w:p>
    <w:p w:rsidR="00F963EF" w:rsidRPr="00404980" w:rsidRDefault="00F963EF" w:rsidP="004872E2">
      <w:pPr>
        <w:pStyle w:val="EndNoteBibliography"/>
        <w:spacing w:after="120"/>
        <w:ind w:left="360" w:hanging="360"/>
        <w:rPr>
          <w:rFonts w:ascii="Times New Roman" w:hAnsi="Times New Roman" w:cs="Times New Roman"/>
          <w:sz w:val="24"/>
          <w:szCs w:val="24"/>
        </w:rPr>
      </w:pPr>
      <w:r w:rsidRPr="00404980">
        <w:rPr>
          <w:rFonts w:ascii="Times New Roman" w:hAnsi="Times New Roman" w:cs="Times New Roman"/>
          <w:sz w:val="24"/>
          <w:szCs w:val="24"/>
        </w:rPr>
        <w:t>Qian, X., Chen, L., Sui, Y., Chen, C., Zhang, W., Zhou, J., Dong, W., Jiang, M., Xin, F., Ochsenreither, K., 2020. Biotechnological potential and applications of microbial consortia. Biotechnology Advances 40, 107500.</w:t>
      </w:r>
    </w:p>
    <w:p w:rsidR="00BC6CFF" w:rsidRPr="00341DF6" w:rsidRDefault="00BC6CFF"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Shahbeig, H., Nosrati, M., 2020. Pyrolysis of biological wastes for bioenergy production: Thermo-kinetic studies with machine-learning method and Py-GC/MS analysis. Fuel 269, 117238.</w:t>
      </w:r>
    </w:p>
    <w:p w:rsidR="00911845" w:rsidRPr="00341DF6" w:rsidRDefault="00911845"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 xml:space="preserve">Wang, Z., Cao, X., Li, N., Yang, Z., Lei, M., Zhao, Y., Wang, L., Li, Z., Liu, D., Niu, H., Ying, H.,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 xml:space="preserve">Production of butanol directly from hemicellulose through secretory expression of a xylanase in </w:t>
      </w:r>
      <w:r w:rsidRPr="00341DF6">
        <w:rPr>
          <w:rFonts w:ascii="Times New Roman" w:hAnsi="Times New Roman" w:cs="Times New Roman"/>
          <w:i/>
          <w:sz w:val="24"/>
          <w:szCs w:val="24"/>
        </w:rPr>
        <w:t>Clostridium acetobutylicum</w:t>
      </w:r>
      <w:r w:rsidRPr="00341DF6">
        <w:rPr>
          <w:rFonts w:ascii="Times New Roman" w:hAnsi="Times New Roman" w:cs="Times New Roman"/>
          <w:sz w:val="24"/>
          <w:szCs w:val="24"/>
        </w:rPr>
        <w:t>. Energy &amp; Fuels 34, 3376-3382.</w:t>
      </w:r>
    </w:p>
    <w:p w:rsidR="00C90188" w:rsidRPr="00341DF6" w:rsidRDefault="00C90188"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Zhang, T., 2020. Taking on all of the biomass for conversion. Science 367, 1305-1306.</w:t>
      </w:r>
    </w:p>
    <w:p w:rsidR="00C90188" w:rsidRPr="00341DF6" w:rsidRDefault="00C90188"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lastRenderedPageBreak/>
        <w:t>Zuber, J., Wollmerstädt, H., Kuchling, T., Kureti, S., Rathsack, P., 2020. Analysis of hydrogenation products of biocrude obtained from hydrothermally liquefied algal biomass using Fourier-transform ion cyclotron resonance mass spectrometry. Energy &amp; Fuels 34, 3199-3209.</w:t>
      </w:r>
    </w:p>
    <w:p w:rsidR="001A3A58" w:rsidRPr="00AC22FB" w:rsidRDefault="001A3A58" w:rsidP="008741AD">
      <w:pPr>
        <w:spacing w:before="0" w:after="240"/>
        <w:ind w:left="720" w:hanging="720"/>
        <w:rPr>
          <w:noProof/>
          <w:szCs w:val="24"/>
        </w:rPr>
      </w:pPr>
    </w:p>
    <w:p w:rsidR="001A3A58" w:rsidRDefault="001A3A58" w:rsidP="008741AD">
      <w:pPr>
        <w:pStyle w:val="H2"/>
        <w:spacing w:before="0" w:after="240"/>
        <w:ind w:left="720" w:hanging="720"/>
        <w:outlineLvl w:val="0"/>
      </w:pPr>
      <w:r>
        <w:t>Biogeochemistry</w:t>
      </w:r>
    </w:p>
    <w:p w:rsidR="00BB53BD" w:rsidRPr="00341DF6" w:rsidRDefault="00BB53BD"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Amor, M., Tharaud, M., Gélabert, A., Komeili, A., 2020. Single-cell determination of iron content in magnetotactic bacteria: implications for the iron biogeochemical cycle. Environmental Microbiology 22, 823-831.</w:t>
      </w:r>
    </w:p>
    <w:p w:rsidR="0032333B" w:rsidRPr="00341DF6" w:rsidRDefault="0032333B"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Bei, K., Xu, T., Shang, S., Wei, Z., Li, J., Cao, Y., Tian, H., 2020. Numerical study on biogeochemical processes induced by methane leakage and its application in estimating the time of cold seeps formation. Deep Sea Research Part I: Oceanographic Research Papers 157, 103206.</w:t>
      </w:r>
    </w:p>
    <w:p w:rsidR="00F55A9D" w:rsidRPr="00341DF6" w:rsidRDefault="00F55A9D"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Brown, T.A., Rad-Menéndez, C., Ray, J.L., Skaar, K.S., Thomas, N., Ruiz-Gonzalez, C., Leu, E., 2020. Influence of nutrient availability on Arctic sea ice diatom HBI lipid synthesis. Organic Geochemistry 141, 103977.</w:t>
      </w:r>
    </w:p>
    <w:p w:rsidR="005C5B53" w:rsidRPr="00341DF6" w:rsidRDefault="005C5B53"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Dixon, L.J., Hopkins, E.F., Stephens, A.J., Schäfer, H., 2020. Seasonal changes in microbial dissolved organic sulfur transformations in coastal waters. Microorganisms 8, 337.</w:t>
      </w:r>
    </w:p>
    <w:p w:rsidR="006A33BC" w:rsidRPr="00341DF6" w:rsidRDefault="006A33BC"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Douglas, P.M.J., Gonzalez Moguel, R., Walter Anthony, K.M., Wik, M., Crill, P.M., Dawson, K.S., Smith, D.A., Yanay, E., Lloyd, M.K., Stolper, D.A., Eiler, J.M., Sessions, A.L., 2020. Clumped isotopes link older carbon substrates with slower rates of methanogenesis in northern lakes. Geophysical Research Letters 47, e2019GL086756.</w:t>
      </w:r>
    </w:p>
    <w:p w:rsidR="006A33BC" w:rsidRPr="00341DF6" w:rsidRDefault="006A33BC"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Duvert, C., Hutley, L.B., Birkel, C., Rudge, M., Munksgaard, N.C., Wynn, J.G., Setterfield, S.A., Cendón, D.I., Bird, M.I., 2020. Seasonal shift from biogenic to geogenic fluvial carbon caused by changing water sources in the wet-dry tropics. Journal of Geophysical Research: Biogeosciences 125, e2019JG005384.</w:t>
      </w:r>
    </w:p>
    <w:p w:rsidR="006A33BC" w:rsidRPr="00341DF6" w:rsidRDefault="006A33BC"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Garnett, M.H., Hardie, S.M.L., Murray, C., 2020. Radiocarbon analysis reveals that vegetation facilitates the release of old methane in a temperate raised bog. Biogeochemistry 148, 1-17.</w:t>
      </w:r>
    </w:p>
    <w:p w:rsidR="00DF0DA9" w:rsidRPr="00341DF6" w:rsidRDefault="00DF0DA9"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Holm, S., Walz, J., Horn, F., Yang, S., Grigoriev, M.N., Wagner, D., Knoblauch, C., Liebner, S., 2020. Methanogenic response to long-term permafrost thaw is determined by paleoenvironment. FEMS Microbiology Ecology 96</w:t>
      </w:r>
      <w:r w:rsidR="00FC13FC" w:rsidRPr="00FC13FC">
        <w:rPr>
          <w:rFonts w:ascii="Times New Roman" w:hAnsi="Times New Roman" w:cs="Times New Roman"/>
          <w:sz w:val="24"/>
          <w:szCs w:val="24"/>
        </w:rPr>
        <w:t>, fiaa021</w:t>
      </w:r>
      <w:r w:rsidRPr="00341DF6">
        <w:rPr>
          <w:rFonts w:ascii="Times New Roman" w:hAnsi="Times New Roman" w:cs="Times New Roman"/>
          <w:sz w:val="24"/>
          <w:szCs w:val="24"/>
        </w:rPr>
        <w:t>.</w:t>
      </w:r>
    </w:p>
    <w:p w:rsidR="00672046" w:rsidRPr="00341DF6" w:rsidRDefault="00672046"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Lauderdale, J.M., Braakman, R., Forget, G., Dutkiewicz, S., Follows, M.J., 2020. Microbial feedbacks optimize ocean iron availability. Proceedings of the National Academy of Sciences 117, 4842.</w:t>
      </w:r>
    </w:p>
    <w:p w:rsidR="00672046" w:rsidRPr="00341DF6" w:rsidRDefault="00672046"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 xml:space="preserve">Leu, A.O., Cai, C., McIlroy, S.J., Southam, G., Orphan, V.J., Yuan, Z., Hu, S., Tyson, G.W., 2020. Anaerobic methane oxidation coupled to manganese reduction by members of the </w:t>
      </w:r>
      <w:r w:rsidRPr="00341DF6">
        <w:rPr>
          <w:rFonts w:ascii="Times New Roman" w:hAnsi="Times New Roman" w:cs="Times New Roman"/>
          <w:i/>
          <w:sz w:val="24"/>
          <w:szCs w:val="24"/>
        </w:rPr>
        <w:t>Methanoperedenaceae</w:t>
      </w:r>
      <w:r w:rsidRPr="00341DF6">
        <w:rPr>
          <w:rFonts w:ascii="Times New Roman" w:hAnsi="Times New Roman" w:cs="Times New Roman"/>
          <w:sz w:val="24"/>
          <w:szCs w:val="24"/>
        </w:rPr>
        <w:t>. The ISME Journal 14, 1030-1041.</w:t>
      </w:r>
    </w:p>
    <w:p w:rsidR="0064405D" w:rsidRPr="00341DF6" w:rsidRDefault="0064405D"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 xml:space="preserve">Li, Y., Jing, H., Kao, S.-J., Zhang, W., Liu, H.,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Metabolic response of prokaryotic microbes to sporadic hypoxia in a eutrophic subtropical estuary. Marine Pollution Bulletin 154, 111064.</w:t>
      </w:r>
    </w:p>
    <w:p w:rsidR="00F15A92" w:rsidRPr="00341DF6" w:rsidRDefault="00F15A92"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lastRenderedPageBreak/>
        <w:t xml:space="preserve">Ma, L., Jiang, X., Liu, G., Yao, L., Liu, W., Pan, Y., Zuo, Y.,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Environmental factors and microbial diversity and abundance jointly regulate soil nitrogen and carbon biogeochemical processes in Tibetan wetlands. Environmental Science &amp; Technology 54, 3267-3277.</w:t>
      </w:r>
    </w:p>
    <w:p w:rsidR="00F963EF" w:rsidRPr="00404980" w:rsidRDefault="00F963EF" w:rsidP="004872E2">
      <w:pPr>
        <w:pStyle w:val="EndNoteBibliography"/>
        <w:spacing w:after="120"/>
        <w:ind w:left="360" w:hanging="360"/>
        <w:rPr>
          <w:rFonts w:ascii="Times New Roman" w:hAnsi="Times New Roman" w:cs="Times New Roman"/>
          <w:sz w:val="24"/>
          <w:szCs w:val="24"/>
        </w:rPr>
      </w:pPr>
      <w:r w:rsidRPr="00404980">
        <w:rPr>
          <w:rFonts w:ascii="Times New Roman" w:hAnsi="Times New Roman" w:cs="Times New Roman"/>
          <w:sz w:val="24"/>
          <w:szCs w:val="24"/>
        </w:rPr>
        <w:t>Ma, X., Sun, M., Lennartz, S.T., Bange, H.W., 2020. A decade of methane measurements at the Boknis Eck Time-series Station in the Eckernförde Bay (Southwestern Baltic Sea). Biogeosciences Discussions 2020, 1-22.</w:t>
      </w:r>
    </w:p>
    <w:p w:rsidR="00F15A92" w:rsidRPr="00341DF6" w:rsidRDefault="00F15A92"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Macaulay, B.M., Boothman, C., van Dongen, B.E., Lloyd, J.R., 2020. A novel “microbial bait” technique for capturing Fe(III)-reducing bacteria. Frontiers in Microbiology 11, 330. doi: 310.3389/fmicb.2020.00330.</w:t>
      </w:r>
    </w:p>
    <w:p w:rsidR="0049088E" w:rsidRPr="00341DF6" w:rsidRDefault="0049088E"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Ménez, B., 2020. Abiotic hydrogen and methane: Fuels for life. Elements 16, 39-46.</w:t>
      </w:r>
    </w:p>
    <w:p w:rsidR="00F407FD" w:rsidRPr="00341DF6" w:rsidRDefault="00F407FD"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Ng, G.-H.C., Rosenfeld, C.E., Santelli, C.M., Yourd, A.R., Lange, J., Duhn, K., Johnson, N.W., 2020. Microbial and reactive transport modeling evidence for hyporheic flux-driven cryptic sulfur cycling and anaerobic methane oxidation in a sulfate-impacted wetland-stream system. Journal of Geophysical Research: Biogeosciences 125, e2019JG005185.</w:t>
      </w:r>
    </w:p>
    <w:p w:rsidR="00F407FD" w:rsidRPr="00341DF6" w:rsidRDefault="00F407FD"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Peketi, A., Mazumdar, A., Pillutla, S.P.K., Patil, D.J., 2020. Influence of dual sulfate reduction pathways on pore-fluid chemistry and occurrences of methane hydrate in sediment cores (IODP-353) off Mahanadi basin, Bay of Bengal. Geochemical Journal 54, 1-11.</w:t>
      </w:r>
    </w:p>
    <w:p w:rsidR="00F407FD" w:rsidRPr="00341DF6" w:rsidRDefault="00F407FD"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Perryman, C.R., McCalley, C.K., Malhotra, A., Fahnestock, M.F., Kashi, N.N., Bryce, J.G., Giesler, R., Varner, R.K., 2020. Thaw transitions and redox conditions drive methane oxidation in a permafrost peatland. Journal of Geophysical Research: Biogeosciences 125, e2019JG005526.</w:t>
      </w:r>
    </w:p>
    <w:p w:rsidR="00F407FD" w:rsidRPr="00341DF6" w:rsidRDefault="00F407FD"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Quadra, G.R., Sobek, S., Paranaíba, J.R., Isidorova, A., Roland, F., do Vale, R., Mendonça, R., 2020. High organic carbon burial but high potential for methane ebullition in the sediments of an Amazonian hydroelectric reservoir. Biogeosciences 17, 1495-1505.</w:t>
      </w:r>
    </w:p>
    <w:p w:rsidR="00123F4A" w:rsidRPr="00341DF6" w:rsidRDefault="00123F4A"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Treude, T., Krause, S., Steinle, L., Burwicz, E., Hamdan, L.J., Niemann, H., Feseker, T., Liebetrau, V., Krastel, S., Berndt, C., 2020. Biogeochemical consequences of nonvertical methane transport in sediment offshore northwestern Svalbard. Journal of Geophysical Research: Biogeosciences 125, e2019JG005371.</w:t>
      </w:r>
    </w:p>
    <w:p w:rsidR="00911845" w:rsidRPr="00341DF6" w:rsidRDefault="00911845"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 xml:space="preserve">Yang, C., Aslan, H., Zhang, P., Zhu, S., Xiao, Y., Chen, L., Khan, N., Boesen, T., Wang, Y., Liu, Y., Wang, L., Sun, Y., Feng, Y., Besenbacher, F., Zhao, F., Yu, M.,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Carbon dots-fed</w:t>
      </w:r>
      <w:r w:rsidRPr="00341DF6">
        <w:rPr>
          <w:rFonts w:ascii="Times New Roman" w:hAnsi="Times New Roman" w:cs="Times New Roman"/>
          <w:i/>
          <w:sz w:val="24"/>
          <w:szCs w:val="24"/>
        </w:rPr>
        <w:t xml:space="preserve"> Shewanella oneidensis</w:t>
      </w:r>
      <w:r w:rsidRPr="00341DF6">
        <w:rPr>
          <w:rFonts w:ascii="Times New Roman" w:hAnsi="Times New Roman" w:cs="Times New Roman"/>
          <w:sz w:val="24"/>
          <w:szCs w:val="24"/>
        </w:rPr>
        <w:t xml:space="preserve"> MR-1 for bioelectricity enhancement. Nature Communications 11, 1379.</w:t>
      </w:r>
    </w:p>
    <w:p w:rsidR="0045624D" w:rsidRPr="0009337C" w:rsidRDefault="0045624D" w:rsidP="0009337C">
      <w:pPr>
        <w:pStyle w:val="EndNoteBibliography"/>
        <w:spacing w:after="120"/>
        <w:ind w:left="360"/>
        <w:rPr>
          <w:rFonts w:ascii="Times New Roman" w:hAnsi="Times New Roman" w:cs="Times New Roman"/>
          <w:sz w:val="24"/>
          <w:szCs w:val="24"/>
        </w:rPr>
      </w:pPr>
    </w:p>
    <w:p w:rsidR="001A3A58" w:rsidRPr="0009337C" w:rsidRDefault="001A3A58" w:rsidP="00F55A9D">
      <w:pPr>
        <w:pStyle w:val="H3"/>
        <w:spacing w:before="0" w:after="240"/>
        <w:ind w:hanging="360"/>
      </w:pPr>
      <w:r w:rsidRPr="0009337C">
        <w:t>Microbial Mediation of Mineral Formation/Degradation</w:t>
      </w:r>
    </w:p>
    <w:p w:rsidR="006A33BC" w:rsidRPr="00341DF6" w:rsidRDefault="006A33BC"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Finlay, R.D., Mahmood, S., Rosenstock, N., Bolou-Bi, E.B., Köhler, S.J., Fahad, Z., Rosling, A., Wallander, H., Belyazid, S., Bishop, K., Lian, B., 2020. Reviews and syntheses: Biological weathering and its consequences at different spatial levels – from nanoscale to global scale. Biogeosciences 17, 1507-1533.</w:t>
      </w:r>
    </w:p>
    <w:p w:rsidR="00DF0DA9" w:rsidRPr="00341DF6" w:rsidRDefault="00DF0DA9"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lastRenderedPageBreak/>
        <w:t>Henne, A., Craw, D., Gagen, E.J., Southam, G., 2020. Contribution of bacterially-induced oxidation of Fe-silicates in iron-rich ore to laterite formation, Salobo IOCG mine, Brazil. Chemical Geology 539, 119499.</w:t>
      </w:r>
    </w:p>
    <w:p w:rsidR="00BE7B53" w:rsidRPr="00341DF6" w:rsidRDefault="00BE7B53"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Jiang, X.D., Zhao, X., Chou, Y.M., Liu, Q.S., Roberts, A.P., Ren, J.B., Sun, X.M., Li, J.H., Tang, X., Zhao, X.Y., Wang, C.C.,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Characterization and quantification of magnetofossils within abyssal manganese nodules from the western Pacific Ocean and implications for nodule formation. Geochemistry, Geophysics, Geosystems 21, e2019GC008811.</w:t>
      </w:r>
    </w:p>
    <w:p w:rsidR="00672046" w:rsidRPr="00341DF6" w:rsidRDefault="00672046"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Levett, A., Vasconcelos, P.M., Gagen, E.J., Rintoul, L., Spier, C., Guagliardo, P., Southam, G., 2020. Microbial weathering signatures in lateritic ferruginous duricrusts. Earth and Planetary Science Letters 538, 116209.</w:t>
      </w:r>
    </w:p>
    <w:p w:rsidR="00F407FD" w:rsidRPr="00341DF6" w:rsidRDefault="00F407F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Reeksting, B.J., Hoffmann, T.D., Tan, L., Paine, K., Gebhard, S., 2020. In-depth profiling of calcite precipitation by environmental bacteria reveals fundamental mechanistic differences with relevance to application. Applied and Environmental Microbiology 86, e02739-02719.</w:t>
      </w:r>
    </w:p>
    <w:p w:rsidR="00BC6CFF" w:rsidRPr="00341DF6" w:rsidRDefault="00BC6CFF"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Shi, T., Wu, G., Li, R., 2020. Structures of siliceous hot spring deposits and mechanism of microbial mineralization and diagenesis. Acta Sedimentologica Sinica 38, 113-123 </w:t>
      </w:r>
    </w:p>
    <w:p w:rsidR="00911845" w:rsidRPr="00341DF6" w:rsidRDefault="00911845"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Wang, Y.-L., Sun, L.-J., Xian, C.-M., Kou, F.-L., Zhu, Y., He, L.-Y., Sheng, X.-F.,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 xml:space="preserve">Interactions between biotite and the mineral-weathering bacterium </w:t>
      </w:r>
      <w:r w:rsidRPr="00341DF6">
        <w:rPr>
          <w:rFonts w:ascii="Times New Roman" w:hAnsi="Times New Roman" w:cs="Times New Roman"/>
          <w:i/>
          <w:sz w:val="24"/>
          <w:szCs w:val="24"/>
        </w:rPr>
        <w:t xml:space="preserve">Pseudomonas azotoformans </w:t>
      </w:r>
      <w:r w:rsidRPr="00341DF6">
        <w:rPr>
          <w:rFonts w:ascii="Times New Roman" w:hAnsi="Times New Roman" w:cs="Times New Roman"/>
          <w:sz w:val="24"/>
          <w:szCs w:val="24"/>
        </w:rPr>
        <w:t>F77. Applied and Environmental Microbiology 86, e02568-02519.</w:t>
      </w:r>
    </w:p>
    <w:p w:rsidR="00911845" w:rsidRPr="00341DF6" w:rsidRDefault="00911845"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Xia, M., Bao, P., Peng, T., Liu, A., Shen, L., Yu, R., Liu, Y., Li, J., Wu, X., Huang, C., Chen, M., Qiu, G., Zeng, W., 2020. Exploration of potential jarosite biomineralization mechanism based on extracellular polymer substances of </w:t>
      </w:r>
      <w:r w:rsidRPr="00341DF6">
        <w:rPr>
          <w:rFonts w:ascii="Times New Roman" w:hAnsi="Times New Roman" w:cs="Times New Roman"/>
          <w:i/>
          <w:sz w:val="24"/>
          <w:szCs w:val="24"/>
        </w:rPr>
        <w:t>Purpureocillium lilacinum</w:t>
      </w:r>
      <w:r w:rsidRPr="00341DF6">
        <w:rPr>
          <w:rFonts w:ascii="Times New Roman" w:hAnsi="Times New Roman" w:cs="Times New Roman"/>
          <w:sz w:val="24"/>
          <w:szCs w:val="24"/>
        </w:rPr>
        <w:t xml:space="preserve"> Y3. International Biodeterioration &amp; Biodegradation 150, 104941.</w:t>
      </w:r>
    </w:p>
    <w:p w:rsidR="001A3A58" w:rsidRPr="00043167" w:rsidRDefault="001A3A58" w:rsidP="008741AD">
      <w:pPr>
        <w:spacing w:before="0" w:after="240"/>
        <w:ind w:left="720" w:hanging="720"/>
        <w:rPr>
          <w:lang w:val="fr-FR"/>
        </w:rPr>
      </w:pPr>
    </w:p>
    <w:p w:rsidR="001A3A58" w:rsidRPr="00043167" w:rsidRDefault="001A3A58" w:rsidP="008741AD">
      <w:pPr>
        <w:pStyle w:val="H2"/>
        <w:spacing w:before="0" w:after="240"/>
        <w:ind w:left="720" w:hanging="720"/>
        <w:outlineLvl w:val="0"/>
        <w:rPr>
          <w:lang w:val="fr-FR"/>
        </w:rPr>
      </w:pPr>
      <w:r w:rsidRPr="00043167">
        <w:rPr>
          <w:lang w:val="fr-FR"/>
        </w:rPr>
        <w:t>Carbon Cycle</w:t>
      </w:r>
    </w:p>
    <w:p w:rsidR="00BB53BD" w:rsidRPr="00341DF6" w:rsidRDefault="00BB53BD"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Atwood, T.B., Witt, A., Mayorga, J., Hammill, E., Sala, E., 2020. Global patterns in marine sediment carbon stocks. Frontiers in Marine Science 7, 165. doi: 110.3389/fmars.2020.00165.</w:t>
      </w:r>
    </w:p>
    <w:p w:rsidR="00BB53BD" w:rsidRPr="00341DF6" w:rsidRDefault="00BB53BD"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Barbosa, P.M., Melack, J.M., Amaral, J.H.F., MacIntyre, S., Kasper, D., Cortés, A., Farjalla, V.F., Forsberg, B.R., 2020. Dissolved methane concentrations and fluxes to the atmosphere from a tropical floodplain lake. Biogeochemistry 148, 129-151.</w:t>
      </w:r>
    </w:p>
    <w:p w:rsidR="0032333B" w:rsidRPr="00341DF6" w:rsidRDefault="0032333B"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Becker, S., Tebben, J., Coffinet, S., Wiltshire, K., Iversen, M.H., Harder, T., Hinrichs, K.-U., Hehemann, J.-H., 2020. Laminarin is a major molecule in the marine carbon cycle. Proceedings of the National Academy of Sciences 117, 6599-6607.</w:t>
      </w:r>
    </w:p>
    <w:p w:rsidR="00DF0DA9" w:rsidRPr="00341DF6" w:rsidRDefault="00DF0DA9"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Howell, D., Stachel, T., Stern, R.A., Pearson, D.G., Nestola, F., Hardman, M.F., Harris, J.W., Jaques, A.L., Shirey, S.B., Cartigny, P., Smit, K.V., Aulbach, S., Brenker, F.E., Jacob, D.E., Thomassot, E., Walter, M.J., Navon, O., 2020. Deep carbon through time: Earth’s diamond record and its implications for carbon cycling and fluid speciation in the mantle. Geochimica et Cosmochimica Acta 275, 99-122.</w:t>
      </w:r>
    </w:p>
    <w:p w:rsidR="00DF0DA9" w:rsidRPr="00341DF6" w:rsidRDefault="00DF0DA9"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lastRenderedPageBreak/>
        <w:t>Huffard, C.L., Durkin, C.A., Wilson, S.E., McGill, P.R., Henthorn, R., Smith, K.L., 2020. Temporally-resolved mechanisms of deep-ocean particle flux and impact on the seafloor carbon cycle in the northeast Pacific. Deep Sea Research Part II: Topical Studies in Oceanography 173, 104763.</w:t>
      </w:r>
    </w:p>
    <w:p w:rsidR="00672046" w:rsidRPr="00341DF6" w:rsidRDefault="00672046"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LaRowe, D.E., Arndt, S., Bradley, J.A., Estes, E.R., Hoarfrost, A., Lang, S.Q., Lloyd, K.G., Mahmoudi, N., Orsi, W.D., Shah Walter, S.R., Steen, A.D., Zhao, R., 2020. The fate of organic carbon in marine sediments - New insights from recent data and analysis. Earth-Science Reviews 204, 103146.</w:t>
      </w:r>
    </w:p>
    <w:p w:rsidR="0049088E" w:rsidRPr="00341DF6" w:rsidRDefault="0049088E"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Melnikova, I., Sasai, T., 2020. Effects of anthropogenic activity on global terrestrial gross primary production. Journal of Geophysical Research: Biogeosciences 125, e2019JG005403.</w:t>
      </w:r>
    </w:p>
    <w:p w:rsidR="00BC6CFF" w:rsidRPr="00341DF6" w:rsidRDefault="00BC6CFF"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 xml:space="preserve">Song, S., Wang, Z.A., Gonneea, M.E., Kroeger, K.D., Chu, S.N., Li, D., Liang, H.,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An important biogeochemical link between organic and inorganic carbon cycling: Effects of organic alkalinity on carbonate chemistry in coastal waters influenced by intertidal salt marshes. Geochimica et Cosmochimica Acta 275, 123-139.</w:t>
      </w:r>
    </w:p>
    <w:p w:rsidR="00123F4A" w:rsidRPr="00341DF6" w:rsidRDefault="00123F4A"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Stein, K., Timmermann, A., Kwon, E.Y., Friedrich, T., 2020. Timing and magnitude of Southern Ocean sea ice/carbon cycle feedbacks. Proceedings of the National Academy of Sciences 117, 4498.</w:t>
      </w:r>
    </w:p>
    <w:p w:rsidR="001A3A58" w:rsidRPr="005A6D55" w:rsidRDefault="001A3A58" w:rsidP="005765D4">
      <w:pPr>
        <w:widowControl/>
        <w:spacing w:before="0" w:after="240"/>
        <w:ind w:left="360" w:hanging="360"/>
      </w:pPr>
    </w:p>
    <w:p w:rsidR="001A3A58" w:rsidRDefault="001A3A58" w:rsidP="008741AD">
      <w:pPr>
        <w:pStyle w:val="H2"/>
        <w:spacing w:before="0" w:after="240"/>
        <w:ind w:left="720" w:hanging="720"/>
        <w:outlineLvl w:val="0"/>
      </w:pPr>
      <w:r>
        <w:t>Climate Change</w:t>
      </w:r>
    </w:p>
    <w:p w:rsidR="00F963EF" w:rsidRPr="00404980" w:rsidRDefault="00F963EF" w:rsidP="004872E2">
      <w:pPr>
        <w:pStyle w:val="EndNoteBibliography"/>
        <w:spacing w:after="120"/>
        <w:ind w:left="360" w:hanging="360"/>
        <w:rPr>
          <w:rFonts w:ascii="Times New Roman" w:hAnsi="Times New Roman" w:cs="Times New Roman"/>
          <w:sz w:val="24"/>
          <w:szCs w:val="24"/>
        </w:rPr>
      </w:pPr>
      <w:r w:rsidRPr="00404980">
        <w:rPr>
          <w:rFonts w:ascii="Times New Roman" w:hAnsi="Times New Roman" w:cs="Times New Roman"/>
          <w:sz w:val="24"/>
          <w:szCs w:val="24"/>
        </w:rPr>
        <w:t>Capet, A., Vandenbulcke, L., Grégoire, M., 2020. Climate change induced a new intermittent regime of convective ventilation that threatens the Black Sea oxygenation status. Biogeosciences Discussions 2020, 1-24.</w:t>
      </w:r>
    </w:p>
    <w:p w:rsidR="00672046" w:rsidRPr="00341DF6" w:rsidRDefault="00672046"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Krajewska, M., Szymczak-Żyła, M., Tylmann, W., Kowalewska, G., 2020. Climate change impact on primary production and phytoplankton taxonomy in Western Spitsbergen fjords based on pigments in sediments. Global and Planetary Change 189, 103158.</w:t>
      </w:r>
    </w:p>
    <w:p w:rsidR="0049088E" w:rsidRPr="00341DF6" w:rsidRDefault="0049088E"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Milkov, A.V., Schwietzke, S., Allen, G., Sherwood, O.A., Etiope, G., 2020. Using global isotopic data to constrain the role of shale gas production in recent increases in atmospheric methane. Scientific Reports 10, 4199.</w:t>
      </w:r>
    </w:p>
    <w:p w:rsidR="00F407FD" w:rsidRPr="00341DF6" w:rsidRDefault="00F407FD"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Nisbet, E.G., Fisher, R.E., Lowry, D., France, J.L., Allen, G., Bakkaloglu, S., Broderick, T.J., Cain, M., Coleman, M., Fernandez, J., Forster, G., Griffiths, P.T., Iverach, C.P., Kelly, B.F.J., Manning, M.R., Nisbet-Jones, P.B.R., Pyle, J.A., Townsend-Small, A., al-Shalaan, A., Warwick, N., Zazzeri, G., 2020. Methane mitigation: Methods to reduce emissions, on the path to the Paris Agreement. Reviews of Geophysics 58, e2019RG000675.</w:t>
      </w:r>
    </w:p>
    <w:p w:rsidR="00F407FD" w:rsidRPr="00341DF6" w:rsidRDefault="00F407FD"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Perryman, C.R., McCalley, C.K., Malhotra, A., Fahnestock, M.F., Kashi, N.N., Bryce, J.G., Giesler, R., Varner, R.K., 2020. Thaw transitions and redox conditions drive methane oxidation in a permafrost peatland. Journal of Geophysical Research: Biogeosciences 125, e2019JG005526.</w:t>
      </w:r>
    </w:p>
    <w:p w:rsidR="00BC6CFF" w:rsidRPr="00341DF6" w:rsidRDefault="00BC6CFF"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Sminchak, J.R., Mawalkar, S., Gupta, N., 2020. Large CO</w:t>
      </w:r>
      <w:r w:rsidRPr="00341DF6">
        <w:rPr>
          <w:rFonts w:ascii="Times New Roman" w:hAnsi="Times New Roman" w:cs="Times New Roman"/>
          <w:sz w:val="24"/>
          <w:szCs w:val="24"/>
          <w:vertAlign w:val="subscript"/>
        </w:rPr>
        <w:t>2</w:t>
      </w:r>
      <w:r w:rsidRPr="00341DF6">
        <w:rPr>
          <w:rFonts w:ascii="Times New Roman" w:hAnsi="Times New Roman" w:cs="Times New Roman"/>
          <w:sz w:val="24"/>
          <w:szCs w:val="24"/>
        </w:rPr>
        <w:t xml:space="preserve"> storage volumes result in net negative emissions for greenhouse gas life cycle analysis based on records from 22 years of CO</w:t>
      </w:r>
      <w:r w:rsidRPr="00341DF6">
        <w:rPr>
          <w:rFonts w:ascii="Times New Roman" w:hAnsi="Times New Roman" w:cs="Times New Roman"/>
          <w:sz w:val="24"/>
          <w:szCs w:val="24"/>
          <w:vertAlign w:val="subscript"/>
        </w:rPr>
        <w:t>2</w:t>
      </w:r>
      <w:r w:rsidRPr="00341DF6">
        <w:rPr>
          <w:rFonts w:ascii="Times New Roman" w:hAnsi="Times New Roman" w:cs="Times New Roman"/>
          <w:sz w:val="24"/>
          <w:szCs w:val="24"/>
        </w:rPr>
        <w:t>-enhanced oil recovery operations. Energy &amp; Fuels 34, 3566-3577.</w:t>
      </w:r>
    </w:p>
    <w:p w:rsidR="00911845" w:rsidRPr="00341DF6" w:rsidRDefault="00911845"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lastRenderedPageBreak/>
        <w:t>Williamson, C.J., Cook, J., Tedstone, A., Yallop, M., McCutcheon, J., Poniecka, E., Campbell, D., Irvine-Fynn, T., McQuaid, J., Tranter, M., Perkins, R., Anesio, A., 2020. Algal photophysiology drives darkening and melt of the Greenland Ice Sheet. Proceedings of the National Academy of Sciences 117, 5694-5705.</w:t>
      </w:r>
    </w:p>
    <w:p w:rsidR="001A3A58" w:rsidRDefault="001A3A58" w:rsidP="008741AD">
      <w:pPr>
        <w:spacing w:before="0" w:after="240"/>
        <w:ind w:left="720" w:hanging="720"/>
      </w:pPr>
    </w:p>
    <w:p w:rsidR="00624684" w:rsidRPr="00043167" w:rsidRDefault="00624684" w:rsidP="00624684">
      <w:pPr>
        <w:pStyle w:val="H2"/>
        <w:spacing w:before="0" w:after="240"/>
        <w:ind w:left="720" w:hanging="720"/>
        <w:outlineLvl w:val="0"/>
        <w:rPr>
          <w:lang w:val="fr-FR"/>
        </w:rPr>
      </w:pPr>
      <w:r w:rsidRPr="00043167">
        <w:rPr>
          <w:lang w:val="fr-FR"/>
        </w:rPr>
        <w:t>Carbon Sequestration</w:t>
      </w:r>
    </w:p>
    <w:p w:rsidR="006A33BC" w:rsidRPr="00341DF6" w:rsidRDefault="006A33BC"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Favero, A., Daigneault, A., Sohngen, B., 2020. Forests: Carbon sequestration, biomass energy, or both? Science Advances 6, eaay6792.</w:t>
      </w:r>
    </w:p>
    <w:p w:rsidR="004F1E0C" w:rsidRPr="00341DF6" w:rsidRDefault="004F1E0C"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 xml:space="preserve">Han, X., Feng, F., Cong, Z.,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Dynamic evaluation method of caprock microscopic sealing in CO</w:t>
      </w:r>
      <w:r w:rsidRPr="00341DF6">
        <w:rPr>
          <w:rFonts w:ascii="Times New Roman" w:hAnsi="Times New Roman" w:cs="Times New Roman"/>
          <w:sz w:val="24"/>
          <w:szCs w:val="24"/>
          <w:vertAlign w:val="subscript"/>
        </w:rPr>
        <w:t>2</w:t>
      </w:r>
      <w:r w:rsidRPr="00341DF6">
        <w:rPr>
          <w:rFonts w:ascii="Times New Roman" w:hAnsi="Times New Roman" w:cs="Times New Roman"/>
          <w:sz w:val="24"/>
          <w:szCs w:val="24"/>
        </w:rPr>
        <w:t xml:space="preserve"> sequestration project. Geofluids 2020, 2648692.</w:t>
      </w:r>
    </w:p>
    <w:p w:rsidR="00F15A92" w:rsidRPr="00341DF6" w:rsidRDefault="00F15A92"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 xml:space="preserve">Ma, B., Cao, Y., Zhang, Y., Eriksson, K.A.,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Role of CO</w:t>
      </w:r>
      <w:r w:rsidRPr="00341DF6">
        <w:rPr>
          <w:rFonts w:ascii="Times New Roman" w:hAnsi="Times New Roman" w:cs="Times New Roman"/>
          <w:sz w:val="24"/>
          <w:szCs w:val="24"/>
          <w:vertAlign w:val="subscript"/>
        </w:rPr>
        <w:t>2</w:t>
      </w:r>
      <w:r w:rsidRPr="00341DF6">
        <w:rPr>
          <w:rFonts w:ascii="Times New Roman" w:hAnsi="Times New Roman" w:cs="Times New Roman"/>
          <w:sz w:val="24"/>
          <w:szCs w:val="24"/>
        </w:rPr>
        <w:t>-water-rock interactions and implications for CO</w:t>
      </w:r>
      <w:r w:rsidRPr="00341DF6">
        <w:rPr>
          <w:rFonts w:ascii="Times New Roman" w:hAnsi="Times New Roman" w:cs="Times New Roman"/>
          <w:sz w:val="24"/>
          <w:szCs w:val="24"/>
          <w:vertAlign w:val="subscript"/>
        </w:rPr>
        <w:t>2</w:t>
      </w:r>
      <w:r w:rsidRPr="00341DF6">
        <w:rPr>
          <w:rFonts w:ascii="Times New Roman" w:hAnsi="Times New Roman" w:cs="Times New Roman"/>
          <w:sz w:val="24"/>
          <w:szCs w:val="24"/>
        </w:rPr>
        <w:t xml:space="preserve"> sequestration in Eocene deeply buried sandstones in the Bonan Sag, eastern Bohai Bay Basin, China. Chemical Geology 541, 119585.</w:t>
      </w:r>
    </w:p>
    <w:p w:rsidR="005D79ED" w:rsidRPr="00341DF6" w:rsidRDefault="005D79ED"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Romanak, K.D., Bomse, D.S., 2020. Field assessment of sensor technology for environmental monitoring using a process-based soil gas method at geologic CO</w:t>
      </w:r>
      <w:r w:rsidRPr="00341DF6">
        <w:rPr>
          <w:rFonts w:ascii="Times New Roman" w:hAnsi="Times New Roman" w:cs="Times New Roman"/>
          <w:sz w:val="24"/>
          <w:szCs w:val="24"/>
          <w:vertAlign w:val="subscript"/>
        </w:rPr>
        <w:t>2</w:t>
      </w:r>
      <w:r w:rsidRPr="00341DF6">
        <w:rPr>
          <w:rFonts w:ascii="Times New Roman" w:hAnsi="Times New Roman" w:cs="Times New Roman"/>
          <w:sz w:val="24"/>
          <w:szCs w:val="24"/>
        </w:rPr>
        <w:t xml:space="preserve"> storage sites. International Journal of Greenhouse Gas Control 96, 103003.</w:t>
      </w:r>
    </w:p>
    <w:p w:rsidR="00BC6CFF" w:rsidRPr="00341DF6" w:rsidRDefault="00BC6CFF"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Sminchak, J.R., Mawalkar, S., Gupta, N., 2020. Large CO</w:t>
      </w:r>
      <w:r w:rsidRPr="00341DF6">
        <w:rPr>
          <w:rFonts w:ascii="Times New Roman" w:hAnsi="Times New Roman" w:cs="Times New Roman"/>
          <w:sz w:val="24"/>
          <w:szCs w:val="24"/>
          <w:vertAlign w:val="subscript"/>
        </w:rPr>
        <w:t>2</w:t>
      </w:r>
      <w:r w:rsidRPr="00341DF6">
        <w:rPr>
          <w:rFonts w:ascii="Times New Roman" w:hAnsi="Times New Roman" w:cs="Times New Roman"/>
          <w:sz w:val="24"/>
          <w:szCs w:val="24"/>
        </w:rPr>
        <w:t xml:space="preserve"> storage volumes result in net negative emissions for greenhouse gas life cycle analysis based on records from 22 years of CO</w:t>
      </w:r>
      <w:r w:rsidRPr="00341DF6">
        <w:rPr>
          <w:rFonts w:ascii="Times New Roman" w:hAnsi="Times New Roman" w:cs="Times New Roman"/>
          <w:sz w:val="24"/>
          <w:szCs w:val="24"/>
          <w:vertAlign w:val="subscript"/>
        </w:rPr>
        <w:t>2</w:t>
      </w:r>
      <w:r w:rsidRPr="00341DF6">
        <w:rPr>
          <w:rFonts w:ascii="Times New Roman" w:hAnsi="Times New Roman" w:cs="Times New Roman"/>
          <w:sz w:val="24"/>
          <w:szCs w:val="24"/>
        </w:rPr>
        <w:t>-enhanced oil recovery operations. Energy &amp; Fuels 34, 3566-3577.</w:t>
      </w:r>
    </w:p>
    <w:p w:rsidR="00624684" w:rsidRPr="00AC22FB" w:rsidRDefault="00624684" w:rsidP="00624684">
      <w:pPr>
        <w:widowControl/>
        <w:spacing w:before="0" w:after="240"/>
        <w:ind w:left="360" w:hanging="360"/>
        <w:rPr>
          <w:noProof/>
          <w:szCs w:val="24"/>
        </w:rPr>
      </w:pPr>
    </w:p>
    <w:p w:rsidR="003C3647" w:rsidRDefault="003C3647" w:rsidP="003C3647">
      <w:pPr>
        <w:pStyle w:val="H2"/>
        <w:spacing w:before="0" w:after="240"/>
        <w:ind w:left="720" w:hanging="720"/>
        <w:outlineLvl w:val="0"/>
      </w:pPr>
      <w:r>
        <w:t>Coal/Lignite/Peat Geochemistry</w:t>
      </w:r>
    </w:p>
    <w:p w:rsidR="00BB53BD" w:rsidRPr="00341DF6" w:rsidRDefault="00BB53BD"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Akinyemi, S.A., Adebayo, O.F., Nyakuma, B.B., Adegoke, A.K., Aturamu, O.A., OlaOlorun, O.A., Adetunji, A., Hower, J.C., Hood, M.M., Jauro, A., 2020. Petrology, physicochemical and thermal analyses of selected Cretaceous coals from the Benue Trough Basin in Nigeria. International Journal of Coal Science &amp; Technology 7, 26-42.</w:t>
      </w:r>
    </w:p>
    <w:p w:rsidR="004F1E0C" w:rsidRPr="00341DF6" w:rsidRDefault="004F1E0C"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 xml:space="preserve">Guo, Q., Littke, R., Sun, Y., Zieger, L.,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Depositional history of low-mature coals from the Puyang Basin, Yunnan Province, China. International Journal of Coal Geology 221, 103428.</w:t>
      </w:r>
    </w:p>
    <w:p w:rsidR="00672046" w:rsidRPr="00341DF6" w:rsidRDefault="00672046"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Lan, F., Qin, Y., Wang, A., Li, M., Wang, G., 2020. The origin of high and variable concentrations of heavy hydrocarbon gases in coal from the Enhong syncline of Yunnan, China. Journal of Natural Gas Science and Engineering 76, 103217.</w:t>
      </w:r>
    </w:p>
    <w:p w:rsidR="0064405D" w:rsidRPr="00341DF6" w:rsidRDefault="0064405D"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 xml:space="preserve">Li, Z., Liu, D., Cai, Y., Si, G., Wang, Y.,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Pore structure and compressibility characteristics of heat-treated coals by N</w:t>
      </w:r>
      <w:r w:rsidRPr="00341DF6">
        <w:rPr>
          <w:rFonts w:ascii="Times New Roman" w:hAnsi="Times New Roman" w:cs="Times New Roman"/>
          <w:sz w:val="24"/>
          <w:szCs w:val="24"/>
          <w:vertAlign w:val="subscript"/>
        </w:rPr>
        <w:t>2</w:t>
      </w:r>
      <w:r w:rsidRPr="00341DF6">
        <w:rPr>
          <w:rFonts w:ascii="Times New Roman" w:hAnsi="Times New Roman" w:cs="Times New Roman"/>
          <w:sz w:val="24"/>
          <w:szCs w:val="24"/>
        </w:rPr>
        <w:t xml:space="preserve"> adsorption/desorption and mercury intrusion porosimetry. Energy &amp; Fuels 34, 3173-3187.</w:t>
      </w:r>
    </w:p>
    <w:p w:rsidR="0064405D" w:rsidRPr="00341DF6" w:rsidRDefault="0064405D"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Lian, W., Wang, J., Wang, G., Gao, D., Li, X., Zhang, Z., Huang, W., Hao, X., Hou, B., 2020. Investigation on the lignite pyrolysis reaction kinetics based on the general Arrhenius formula. Fuel 268, 117364.</w:t>
      </w:r>
    </w:p>
    <w:p w:rsidR="0064405D" w:rsidRPr="00341DF6" w:rsidRDefault="0064405D"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lastRenderedPageBreak/>
        <w:t xml:space="preserve">Liu, G.-H., Zong, Z.-M., Ma, Z.-H., Liu, F.-J., Wei, X.-Y., Kang, Y.-H., Fan, X., Ma, F.Y., Liu, J.M., Mo, W.L.,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Observing the structural variation of Dahuangshan lignite and four derived residues by non-destructive techniques and flash pyrolysis. Fuel 269, 117335.</w:t>
      </w:r>
    </w:p>
    <w:p w:rsidR="0049088E" w:rsidRPr="00341DF6" w:rsidRDefault="0049088E"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 xml:space="preserve">Mathews, R.P., Chetia, R., Agrawal, S., Singh, B.D., Singh, P.K., Singh, V.P., Singh, A., 2020. Early Palaeogene climate variability based on </w:t>
      </w:r>
      <w:r w:rsidRPr="00341DF6">
        <w:rPr>
          <w:rFonts w:ascii="Times New Roman" w:hAnsi="Times New Roman" w:cs="Times New Roman"/>
          <w:i/>
          <w:sz w:val="24"/>
          <w:szCs w:val="24"/>
        </w:rPr>
        <w:t>n</w:t>
      </w:r>
      <w:r w:rsidRPr="00341DF6">
        <w:rPr>
          <w:rFonts w:ascii="Times New Roman" w:hAnsi="Times New Roman" w:cs="Times New Roman"/>
          <w:sz w:val="24"/>
          <w:szCs w:val="24"/>
        </w:rPr>
        <w:t>-alkane and stable carbon isotopic composition evidenced from the Barsingsar lignite-bearing sequence of Rajasthan. Journal of the Geological Society of India 95, 255-262.</w:t>
      </w:r>
    </w:p>
    <w:p w:rsidR="00F407FD" w:rsidRPr="00341DF6" w:rsidRDefault="00F407FD"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Ogala, J.E., Kalaitzidis, S., Rizos, A.-M., Christanis, K., Omo-Irabor, O.O., Adaikpoh, E.O., Ejeh, O.I., Papaefthymiou, H., 2020. Petrographic and mineralogical study of extended outcrops of lignite layers in Agbor area, southern Nigeria. Journal of African Earth Sciences 164, 103659.</w:t>
      </w:r>
    </w:p>
    <w:p w:rsidR="00123F4A" w:rsidRPr="00341DF6" w:rsidRDefault="00123F4A"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Tong, R.-L., Zhang, H.-Y., Lin, X.-C., Wang, Y.-G., Meng, X.-K., 2020. Analysis of distillate product in the direct coal liquefaction of a Chinese bituminous coal. International Journal of Oil, Gas and Coal Technology 23, 375-394.</w:t>
      </w:r>
    </w:p>
    <w:p w:rsidR="00911845" w:rsidRPr="00341DF6" w:rsidRDefault="00911845"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Yin, J., Lin, X., Wang, C., Dai, J., Wang, Y., Xu, Z., 2020. Identification of the transformation features of heteroatomic compounds in a low rank coal by combining thermal extraction and various analytical approaches. Fuel 270, 117480.</w:t>
      </w:r>
    </w:p>
    <w:p w:rsidR="00911845" w:rsidRPr="00341DF6" w:rsidRDefault="00911845"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Zdravkov, A., Stefanova, M., Worobiec, E., Bechtel, A., Marinov, S., Kortenski, J., 2020. Implications for peat formation in Maritsa-West Basin, SE Bulgaria: Insights from organic petrology, palynology and biomarker assemblage. International Journal of Coal Geology 222, 103447.</w:t>
      </w:r>
    </w:p>
    <w:p w:rsidR="00C90188" w:rsidRPr="00341DF6" w:rsidRDefault="00C90188"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 xml:space="preserve">Zhang, B., Chen, J., Sha, J., Zhang, S., Zeng, J., Chen, P., Yao, D., Liu, W., Wang, X., Zhang, P., Liu, G., Li, X.,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Geochemistry of coal thermally-altered by igneous intrusion: A case study from the Pansan Coal Mine of Huainan Coalfield, Anhui, Eastern China. Journal of Geochemical Exploration 213, 106532.</w:t>
      </w:r>
    </w:p>
    <w:p w:rsidR="00C90188" w:rsidRPr="00341DF6" w:rsidRDefault="00C90188"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 xml:space="preserve">Zhao, W., Su, X., Xia, D., Li, D., Guo, H.,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Contribution of microbial acclimation to lignite biomethanization. Energy &amp; Fuels 34, 3223-3238.</w:t>
      </w:r>
    </w:p>
    <w:p w:rsidR="003C3647" w:rsidRPr="00AE0525" w:rsidRDefault="003C3647" w:rsidP="004872E2">
      <w:pPr>
        <w:widowControl/>
        <w:spacing w:before="0" w:after="120"/>
        <w:ind w:left="360" w:hanging="360"/>
      </w:pPr>
    </w:p>
    <w:p w:rsidR="001A3A58" w:rsidRDefault="001A3A58" w:rsidP="00BB53BD">
      <w:pPr>
        <w:pStyle w:val="H3"/>
        <w:spacing w:before="0" w:after="240"/>
        <w:ind w:hanging="360"/>
      </w:pPr>
      <w:r>
        <w:t>Coal Bed Methane</w:t>
      </w:r>
    </w:p>
    <w:p w:rsidR="006A33BC" w:rsidRPr="00341DF6" w:rsidRDefault="006A33BC"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Fang, H., Sang, S., Liu, S., 2020. A methodology for characterizing the multiscale pores and fractures in anthracite and semi-anthracite coals and its application in analysis of the storage and permeable capacity of coalbed methane. SPE-197069-PA 23, 177-186.</w:t>
      </w:r>
    </w:p>
    <w:p w:rsidR="006A33BC" w:rsidRPr="00341DF6" w:rsidRDefault="006A33BC"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Gao, D., Hong, L., Wang, J., Zheng, D., 2020. Molecular simulation of gas adsorption characteristics and diffusion in micropores of lignite. Fuel 269, 117443.</w:t>
      </w:r>
    </w:p>
    <w:p w:rsidR="00DF0DA9" w:rsidRPr="00341DF6" w:rsidRDefault="00DF0DA9"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He, X., Cheng, Y., Hu, B., Wang, Z., Wang, C., Yi, M., Wang, L.,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Effects of coal pore structure on methane‐coal sorption hysteresis: An experimental investigation based on fractal analysis and hysteresis evaluation. Fuel 269, 117438.</w:t>
      </w:r>
    </w:p>
    <w:p w:rsidR="0064405D" w:rsidRPr="00341DF6" w:rsidRDefault="0064405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Li, J., Wang, Y., Chen, Z., Rahman, S.S.,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Simulation of adsorption–desorption behavior in coal seam gas reservoirs at the molecular level: A comprehensive review. Energy &amp; Fuels 34, 2619-2642.</w:t>
      </w:r>
    </w:p>
    <w:p w:rsidR="00123F4A" w:rsidRPr="00341DF6" w:rsidRDefault="00123F4A"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lastRenderedPageBreak/>
        <w:t>Tao, M., Chen, X., Ma, Y., Wang, Y., Li, Z., Xiao, W., Huang, Z., 2020. Geological–geochemical models and isotope fractionation laws and control factors of thermogenic coalbed gas in Panxian, China. Energy &amp; Fuels 34, 2665-2673.</w:t>
      </w:r>
    </w:p>
    <w:p w:rsidR="00C90188" w:rsidRPr="00341DF6" w:rsidRDefault="00C90188"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Zhang, R., Liu, S., He, L., Blach, T.P., Wang, Y.,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Characterizing anisotropic pore structure and its impact on gas storage and transport in coalbed methane and shale gas reservoirs. Energy &amp; Fuels 34, 3161-3172.</w:t>
      </w:r>
    </w:p>
    <w:p w:rsidR="00C90188" w:rsidRPr="00341DF6" w:rsidRDefault="00C90188"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Zhou, D., Feng, Z., Zhao, Y.,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Study on the methane adsorption characteristics of coal with heterogeneous potential wells. International Journal of Oil, Gas and Coal Technology 23, 312-324.</w:t>
      </w:r>
    </w:p>
    <w:p w:rsidR="00C90188" w:rsidRPr="00341DF6" w:rsidRDefault="00C90188"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Zhou, D., Liu, Z., Feng, Z., Shen, Y., Wu, Y.,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The study of the local area density homogenization effect of meso-structures in coal during methane adsorption. Journal of Petroleum Science and Engineering 191, 107141.</w:t>
      </w:r>
    </w:p>
    <w:p w:rsidR="001A3A58" w:rsidRDefault="001A3A58" w:rsidP="008741AD">
      <w:pPr>
        <w:pStyle w:val="Blockquote"/>
        <w:spacing w:before="0" w:after="240"/>
        <w:ind w:left="720" w:right="0" w:hanging="720"/>
      </w:pPr>
    </w:p>
    <w:p w:rsidR="001A3A58" w:rsidRDefault="001A3A58" w:rsidP="008741AD">
      <w:pPr>
        <w:pStyle w:val="H2"/>
        <w:spacing w:before="0" w:after="240"/>
        <w:ind w:left="720" w:hanging="720"/>
        <w:outlineLvl w:val="0"/>
      </w:pPr>
      <w:r>
        <w:t>Cosmochemistry</w:t>
      </w:r>
      <w:r w:rsidR="00DE214D">
        <w:t>/Planetary Geochemistry</w:t>
      </w:r>
    </w:p>
    <w:p w:rsidR="00BB53BD" w:rsidRPr="00341DF6" w:rsidRDefault="00BB53BD"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Bâldea, I., 2020. Extensive quantum chemistry study of neutral and charged C</w:t>
      </w:r>
      <w:r w:rsidRPr="00341DF6">
        <w:rPr>
          <w:rFonts w:ascii="Times New Roman" w:hAnsi="Times New Roman" w:cs="Times New Roman"/>
          <w:sz w:val="24"/>
          <w:szCs w:val="24"/>
          <w:vertAlign w:val="subscript"/>
        </w:rPr>
        <w:t>4</w:t>
      </w:r>
      <w:r w:rsidRPr="00341DF6">
        <w:rPr>
          <w:rFonts w:ascii="Times New Roman" w:hAnsi="Times New Roman" w:cs="Times New Roman"/>
          <w:sz w:val="24"/>
          <w:szCs w:val="24"/>
        </w:rPr>
        <w:t>N chains: An attempt to aid astronomical observations. ACS Earth and Space Chemistry 4, 434-448.</w:t>
      </w:r>
    </w:p>
    <w:p w:rsidR="002B0AA5" w:rsidRPr="00341DF6" w:rsidRDefault="002B0AA5"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Bermingham, K.R., 2020. Ancient rock bears isotopic fingerprints of Earth’s origins. Nature 579, 195-196.</w:t>
      </w:r>
    </w:p>
    <w:p w:rsidR="00F55A9D" w:rsidRPr="00341DF6" w:rsidRDefault="00F55A9D"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Burchett, J.N., Elek, O., Tejos, N., Prochaska, J.X., Tripp, T.M., Bordoloi, R., Forbes, A.G., 2020. Revealing the dark threads of the cosmic web. The Astrophysical Journal 891, L35.</w:t>
      </w:r>
    </w:p>
    <w:p w:rsidR="005C5B53" w:rsidRPr="00341DF6" w:rsidRDefault="005C5B53"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Clark, J.V., Sutter, B., McAdam, A.C., Rampe, E.B., Archer, P.D., Ming, D.W., Navarro-Gonzalez, R., Mahaffy, P., Lapen, T.J., 2020. High-temperature HCl evolutions from mixtures of perchlorates and chlorides with water-bearing phases: Implications for the SAM instrument in Gale Crater, Mars. Journal of Geophysical Research: Planets 125, e2019JE006173.</w:t>
      </w:r>
    </w:p>
    <w:p w:rsidR="00DF0DA9" w:rsidRPr="00341DF6" w:rsidRDefault="00DF0DA9"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Howell, S.M., Pappalardo, R.T., 2020. NASA’s Europa Clipper—a mission to a potentially habitable ocean world. Nature Communications 11, 1311.</w:t>
      </w:r>
    </w:p>
    <w:p w:rsidR="00DF0DA9" w:rsidRPr="00341DF6" w:rsidRDefault="00DF0DA9"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Ikeda, M., Tada, R., 2020. Reconstruction of the chaotic behavior of the Solar System from geologic records. Earth and Planetary Science Letters 537, 116168.</w:t>
      </w:r>
    </w:p>
    <w:p w:rsidR="00F15A92" w:rsidRPr="00341DF6" w:rsidRDefault="00F15A92"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Martin, P.E., Farley, K.A., Archer Jr, P.D., Hogancamp, J.V., Siebach, K.L., Grotzinger, J.P., McLennan, S.M., 2020. Reevaluation of perchlorate in Gale Crater rocks suggests geologically recent perchlorate addition. Journal of Geophysical Research: Planets 125, e2019JE006156.</w:t>
      </w:r>
    </w:p>
    <w:p w:rsidR="0049088E" w:rsidRPr="00341DF6" w:rsidRDefault="0049088E"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McGeoch, M.W., Dikler, S., McGeoch, J.E.M., 2020. Hemolithin: a meteoritic protein containing iron and lithium. arXiv:2002.11688.</w:t>
      </w:r>
    </w:p>
    <w:p w:rsidR="0049088E" w:rsidRPr="00341DF6" w:rsidRDefault="0049088E"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Montgomery, W., 2020. New paths for survivability of organic material in the martian subsurface. Journal of Geophysical Research: Planets 125, e2019JE006370.</w:t>
      </w:r>
    </w:p>
    <w:p w:rsidR="00F407FD" w:rsidRPr="00341DF6" w:rsidRDefault="00F407FD"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 xml:space="preserve">Okada, T., Fukuhara, T., Tanaka, S., Taguchi, M., Arai, T., Senshu, H., Sakatani, N., Shimaki, Y., Demura, H., Ogawa, Y., Suko, K., Sekiguchi, T., Kouyama, T., Takita, J., Matsunaga, T., </w:t>
      </w:r>
      <w:r w:rsidRPr="00341DF6">
        <w:rPr>
          <w:rFonts w:ascii="Times New Roman" w:hAnsi="Times New Roman" w:cs="Times New Roman"/>
          <w:sz w:val="24"/>
          <w:szCs w:val="24"/>
        </w:rPr>
        <w:lastRenderedPageBreak/>
        <w:t>Imamura, T., Wada, T., Hasegawa, S., Helbert, J., Müller, T.G., Hagermann, A., Biele, J., Grott, M., Hamm, M., Delbo, M., Hirata, N., Hirata, N., Yamamoto, Y., Sugita, S., Namiki, N., Kitazato, K., Arakawa, M., Tachibana, S., Ikeda, H., Ishiguro, M., Wada, K., Honda, C., Honda, R., Ishihara, Y., Matsumoto, K., Matsuoka, M., Michikami, T., Miura, A., Morota, T., Noda, H., Noguchi, R., Ogawa, K., Shirai, K., Tatsumi, E., Yabuta, H., Yokota, Y., Yamada, M., Abe, M., Hayakawa, M., Iwata, T., Ozaki, M., Yano, H., Hosoda, S., Mori, O., Sawada, H., Shimada, T., Takeuchi, H., Tsukizaki, R., Fujii, A., Hirose, C., Kikuchi, S., Mimasu, Y., Ogawa, N., Ono, G., Takahashi, T., Takei, Y., Yamaguchi, T., Yoshikawa, K., Terui, F., Saiki, T., Nakazawa, S., Yoshikawa, M., Watanabe, S., Tsuda, Y., 2020. Highly porous nature of a primitive asteroid revealed by thermal imaging. Nature 579, 518-522.</w:t>
      </w:r>
    </w:p>
    <w:p w:rsidR="00F407FD" w:rsidRPr="00341DF6" w:rsidRDefault="00F407FD"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Potiszil, C., Tanaka, R., Ota, T., Kunihiro, T., Kobayashi, K., Nakamura, E., 2020. Concentration of meteoritic free organic matter by fluid transport and adsorption. Geochemical Perspectives Letters 13, 30-35.</w:t>
      </w:r>
    </w:p>
    <w:p w:rsidR="00F407FD" w:rsidRPr="00341DF6" w:rsidRDefault="00F407FD"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Reinhardt, M., Goetz, W., Thiel, V., 2020. Testing flight-like pyrolysis gas chromatography–mass spectrometry as performed by the Mars Organic Molecule Analyzer onboard the ExoMars 2020 rover on Oxia Planum analog samples. Astrobiology 20, 415-428.</w:t>
      </w:r>
    </w:p>
    <w:p w:rsidR="00F407FD" w:rsidRPr="00341DF6" w:rsidRDefault="00F407FD"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Rivera-Hernández, F., Sumner, D.Y., Mangold, N., Banham, S.G., Edgett, K.S., Fedo, C.M., Gupta, S., Gwizd, S., Heydari, E., Maurice, S., Nachon, M., Newsom, H., Schieber, J., Stack-Morgan, K., Stein, N., Wiens, R.C., 2020. Grain size variations in the Murray Formation: Stratigraphic evidence for changing depositional environments in Gale Crater, Mars. Journal of Geophysical Research: Planets 125, e2019JE006230.</w:t>
      </w:r>
    </w:p>
    <w:p w:rsidR="005D79ED" w:rsidRPr="00341DF6" w:rsidRDefault="005D79ED"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Ruff, S.W., Campbell, K.A., Van Kranendonk, M.J., Rice, M.S., Farmer, J.D., 2020. The case for ancient hot springs in Gusev Crater, Mars. Astrobiology 20, 475-499.</w:t>
      </w:r>
    </w:p>
    <w:p w:rsidR="005D79ED" w:rsidRPr="00341DF6" w:rsidRDefault="005D79ED"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Schulz, T., Povinec, P.P., Ferrière, L., Jull, A.J.T., Kováčik, A., Sýkora, I., Tusch, J., Münker, C., Topa, D., Koeberl, C., 2020. The history of the Tissint meteorite, from its crystallization on Mars to its exposure in space: New geochemical, isotopic, and cosmogenic nuclide data. Meteoritics &amp; Planetary Science 55, 294-311.</w:t>
      </w:r>
    </w:p>
    <w:p w:rsidR="00123F4A" w:rsidRPr="00341DF6" w:rsidRDefault="00123F4A"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 xml:space="preserve">Sun, Y., Ellery, A., Huang, X.,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Targeting the geysers on Enceladus by viffing descent through the icy plumes. Advances in Space Research 65, 1863-1876.</w:t>
      </w:r>
    </w:p>
    <w:p w:rsidR="00123F4A" w:rsidRPr="00341DF6" w:rsidRDefault="00123F4A"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Tokano, T., 2020. Stable existence of tropical endorheic lakes on Titan. Geophysical Research Letters 47, e2019GL086166.</w:t>
      </w:r>
    </w:p>
    <w:p w:rsidR="001A3A58" w:rsidRPr="00AE0525" w:rsidRDefault="001A3A58" w:rsidP="004872E2">
      <w:pPr>
        <w:widowControl/>
        <w:spacing w:before="0" w:after="120"/>
        <w:ind w:left="360" w:hanging="360"/>
      </w:pPr>
    </w:p>
    <w:p w:rsidR="001A3A58" w:rsidRDefault="001A3A58" w:rsidP="005765D4">
      <w:pPr>
        <w:pStyle w:val="H3"/>
        <w:spacing w:before="0" w:after="240"/>
        <w:ind w:hanging="360"/>
      </w:pPr>
      <w:r>
        <w:t>Astrobiology</w:t>
      </w:r>
    </w:p>
    <w:p w:rsidR="00BB53BD" w:rsidRPr="00341DF6" w:rsidRDefault="00BB53B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Airapetian, V.S., Barnes, R., Cohen, O., Collinson, G.A., Danchi, W.C., Dong, C.F., Del Genio, A.D., France, K., Garcia-Sage, K., Glocer, A., Gopalswamy, N., Grenfell, J.L., Gronoff, G., Güdel, M., Herbst, K., Henning, W.G., Jackman, C.H., Jin, M., Johnstone, C.P., Kaltenegger, L., Kay, C.D., Kobayashi, K., Kuang, W., Li, G., Lynch, B.J., Lüftinger, T., Luhmann, J.G., Maehara, H., Mlynczak, M.G., Notsu, Y., Osten, R.A., Ramirez, R.M., Rugheimer, S., Scheucher, M., Schlieder, J.E., Shibata, K., Sousa-Silva, C., Stamenković, V., Strangeway, R.J., Usmanov, A.V., Vergados, P., Verkhoglyadova, O.P., Vidotto, A.A., Voytek, M., Way, M.J., Zank, G.P., Yamashiki, Y., 2020. Impact of </w:t>
      </w:r>
      <w:r w:rsidRPr="00341DF6">
        <w:rPr>
          <w:rFonts w:ascii="Times New Roman" w:hAnsi="Times New Roman" w:cs="Times New Roman"/>
          <w:sz w:val="24"/>
          <w:szCs w:val="24"/>
        </w:rPr>
        <w:lastRenderedPageBreak/>
        <w:t>space weather on climate and habitability of terrestrial-type exoplanets. International Journal of Astrobiology 19, 136-194.</w:t>
      </w:r>
    </w:p>
    <w:p w:rsidR="005C5B53" w:rsidRPr="00341DF6" w:rsidRDefault="005C5B53"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Carrizo, D., Muñoz-Iglesias, V., Fernández-Sampedro, M.T., Gil-Lozano, C., Sánchez-García, L., Prieto-Ballesteros, O., Medina, J., Rull, F., 2020. Detection of potential lipid biomarkers in oxidative environments by Raman spectroscopy and implications for the ExoMars 2020-Raman laser spectrometer instrument performance. Astrobiology 20, 405-414.</w:t>
      </w:r>
    </w:p>
    <w:p w:rsidR="005C5B53" w:rsidRPr="00341DF6" w:rsidRDefault="005C5B53"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Ćirković, M.M., Balbi, A., 2020. Copernicanism and the typicality in time. International Journal of Astrobiology 19, 101-109.</w:t>
      </w:r>
    </w:p>
    <w:p w:rsidR="005C5B53" w:rsidRPr="00341DF6" w:rsidRDefault="005C5B53"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Díez, J., Moreno, G., Del Peral, L., Adams, J.H., Rodríguez Frías, M.D., Manjón, J.L., 2020. </w:t>
      </w:r>
      <w:r w:rsidRPr="00341DF6">
        <w:rPr>
          <w:rFonts w:ascii="Times New Roman" w:hAnsi="Times New Roman" w:cs="Times New Roman"/>
          <w:i/>
          <w:sz w:val="24"/>
          <w:szCs w:val="24"/>
        </w:rPr>
        <w:t xml:space="preserve">Fuligo septica </w:t>
      </w:r>
      <w:r w:rsidRPr="00341DF6">
        <w:rPr>
          <w:rFonts w:ascii="Times New Roman" w:hAnsi="Times New Roman" w:cs="Times New Roman"/>
          <w:sz w:val="24"/>
          <w:szCs w:val="24"/>
        </w:rPr>
        <w:t>spores onboard a stratospheric NASA balloon and its complete</w:t>
      </w:r>
      <w:r w:rsidRPr="00341DF6">
        <w:rPr>
          <w:rFonts w:ascii="Times New Roman" w:hAnsi="Times New Roman" w:cs="Times New Roman"/>
          <w:i/>
          <w:sz w:val="24"/>
          <w:szCs w:val="24"/>
        </w:rPr>
        <w:t xml:space="preserve"> in vitro</w:t>
      </w:r>
      <w:r w:rsidRPr="00341DF6">
        <w:rPr>
          <w:rFonts w:ascii="Times New Roman" w:hAnsi="Times New Roman" w:cs="Times New Roman"/>
          <w:sz w:val="24"/>
          <w:szCs w:val="24"/>
        </w:rPr>
        <w:t xml:space="preserve"> life cycle. Astrobiology 20, 394-404.</w:t>
      </w:r>
    </w:p>
    <w:p w:rsidR="006A33BC" w:rsidRPr="00341DF6" w:rsidRDefault="006A33BC"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Gangidine, A., Havig, J.R., Fike, D.A., Jones, C., Hamilton, T.L., Czaja, A.D., 2020. Trace element concentrations in hydrothermal silica deposits as a potential biosignature. Astrobiology 20, 525-536.</w:t>
      </w:r>
    </w:p>
    <w:p w:rsidR="004F1E0C" w:rsidRPr="00341DF6" w:rsidRDefault="004F1E0C"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Glein, C.R., Zolotov, M.Y., 2020. Hydrogen, hydrocarbons, and habitability across the solar system. Elements 16, 47-52.</w:t>
      </w:r>
    </w:p>
    <w:p w:rsidR="004F1E0C" w:rsidRPr="00341DF6" w:rsidRDefault="004F1E0C"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Gong, J., Myers, K.D., Munoz-Saez, C., Homann, M., Rouillard, J., Wirth, R., Schreiber, A., van Zuilen, M.A., 2020. Formation and preservation of microbial palisade fabric in silica deposits from El Tatio, Chile. Astrobiology 20, 500-524.</w:t>
      </w:r>
    </w:p>
    <w:p w:rsidR="004F1E0C" w:rsidRPr="00341DF6" w:rsidRDefault="004F1E0C"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Hall, C.M., Johnsen, M.G., 2020. Possible influence of variations in the geomagnetic field on migration paths of snow buntings. International Journal of Astrobiology 19, 195-201.</w:t>
      </w:r>
    </w:p>
    <w:p w:rsidR="00DF0DA9" w:rsidRPr="00341DF6" w:rsidRDefault="00DF0DA9"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Heinz, J., Schulze-Makuch, D., 2020. Thiophenes on Mars: Biotic or abiotic origin? Astrobiology 20, 552-561.</w:t>
      </w:r>
    </w:p>
    <w:p w:rsidR="00DF0DA9" w:rsidRPr="00341DF6" w:rsidRDefault="00DF0DA9"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Howell, S.M., Pappalardo, R.T., 2020. NASA’s Europa Clipper—a mission to a potentially habitable ocean world. Nature Communications 11, 1311.</w:t>
      </w:r>
    </w:p>
    <w:p w:rsidR="00F15A92" w:rsidRPr="00341DF6" w:rsidRDefault="00F15A92"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Maggiori, C., Stromberg, J., Blanco, Y., Goordial, J., Cloutis, E., García-Villadangos, M., Parro, V., Whyte, L., 2020. The limits, capabilities, and potential for life detection with MinION sequencing in a paleochannel Mars analog. Astrobiology 20, 375-393.</w:t>
      </w:r>
    </w:p>
    <w:p w:rsidR="0049088E" w:rsidRPr="00341DF6" w:rsidRDefault="0049088E"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Mathanlal, T., Bhardwaj, A., Ramachandran, A.V., Zorzano, M.-P., Martín-Torres, J., Cockell, C.S., Paling, S., Edwards, T., 2020. Subsurface robotic exploration for geomorphology, astrobiology and mining during MINAR6 campaign, Boulby Mine, UK: part I (Rover development). International Journal of Astrobiology 19, 110-125.</w:t>
      </w:r>
    </w:p>
    <w:p w:rsidR="005D79ED" w:rsidRPr="00341DF6" w:rsidRDefault="005D79E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Röstel, L., Guo, J., Banjac, S., Wimmer-Schweingruber, R.F., Heber, B., 2020. Subsurface radiation environment of Mars and its implication for shielding protection of future habitats. Journal of Geophysical Research: Planets 125, e2019JE006246.</w:t>
      </w:r>
    </w:p>
    <w:p w:rsidR="005D79ED" w:rsidRPr="00341DF6" w:rsidRDefault="005D79E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Ruff, S.W., Campbell, K.A., Van Kranendonk, M.J., Rice, M.S., Farmer, J.D., 2020. The case for ancient hot springs in Gusev Crater, Mars. Astrobiology 20, 475-499.</w:t>
      </w:r>
    </w:p>
    <w:p w:rsidR="00123F4A" w:rsidRPr="00341DF6" w:rsidRDefault="00123F4A"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Sun, V.Z., Milliken, R.E., 2020. Characterizing the mineral assemblages of hot spring environments and applications to Mars orbital data. Astrobiology 20, 453-474.</w:t>
      </w:r>
    </w:p>
    <w:p w:rsidR="00123F4A" w:rsidRPr="00341DF6" w:rsidRDefault="00123F4A"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lastRenderedPageBreak/>
        <w:t>Tait, A.W., Gagen, E.J., Wilson, S.A., Tomkins, A.G., Southam, G., 2020. Eukaryotic colonization of micrometer-scale cracks in rocks: A “microfluidics” experiment using naturally weathered meteorites from the Nullarbor Plain, Australia. Astrobiology 20, 364-374.</w:t>
      </w:r>
    </w:p>
    <w:p w:rsidR="00123F4A" w:rsidRPr="00341DF6" w:rsidRDefault="00123F4A"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Teece, B.L., George, S.C., Djokic, T., Campbell, K.A., Ruff, S.W., Van Kranendonk, M.J., 2020. Biomolecules from fossilized hot spring sinters: Implications for the search for life on Mars. Astrobiology 20, 537-551.</w:t>
      </w:r>
    </w:p>
    <w:p w:rsidR="00911845" w:rsidRPr="00341DF6" w:rsidRDefault="00911845"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Veneranda, M., Lopez-Reyes, G., Manrique, J.A., Medina, J., Ruiz-Galende, P., Torre-Fdez, I., Castro, K., Lantz, C., Poulet, F., Dypvik, H., Werner, S.C., Rull, F., 2020. ExoMars Raman laser spectrometer: A tool for the potential recognition of wet-target craters on Mars. Astrobiology 20, 349-363.</w:t>
      </w:r>
    </w:p>
    <w:p w:rsidR="00911845" w:rsidRPr="00341DF6" w:rsidRDefault="00911845"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Wandel, A., Gale, J., 2020. The bio-habitable zone and atmospheric properties for planets of red dwarfs. International Journal of Astrobiology 19, 126-135.</w:t>
      </w:r>
    </w:p>
    <w:p w:rsidR="00911845" w:rsidRPr="00341DF6" w:rsidRDefault="00911845"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Witzany, G., 2020. What is Life? Frontiers in Astronomy and Space Sciences 7, 7. doi: 10.3389/fspas.2020.00007.</w:t>
      </w:r>
    </w:p>
    <w:p w:rsidR="00911845" w:rsidRPr="00341DF6" w:rsidRDefault="00911845"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Yingst, R.A., Bartley, J.K., Chidsey Jr., T.J., Cohen, B.A., Hynek, B.M., Kah, L.C., Minitti, M.E., Vanden Berg, M.D., Williams, R.M.E., Adams, M., Black, S., El-Maarry, M.R., Gemperline, J., Kronyak, R., Lotto, M., 2020. Is a linear or a walkabout protocol more efficient when using a rover to choose biologically relevant samples in a small region of interest? Astrobiology 20, 327-348.</w:t>
      </w:r>
    </w:p>
    <w:p w:rsidR="000D6D89" w:rsidRDefault="000D6D89" w:rsidP="00A94557">
      <w:pPr>
        <w:pStyle w:val="EndNoteBibliography"/>
        <w:spacing w:after="120"/>
        <w:rPr>
          <w:rFonts w:ascii="Times New Roman" w:hAnsi="Times New Roman" w:cs="Times New Roman"/>
          <w:sz w:val="24"/>
          <w:szCs w:val="24"/>
        </w:rPr>
      </w:pPr>
    </w:p>
    <w:p w:rsidR="001A3A58" w:rsidRDefault="001A3A58" w:rsidP="008741AD">
      <w:pPr>
        <w:pStyle w:val="H2"/>
        <w:spacing w:before="0" w:after="240"/>
        <w:ind w:left="720" w:hanging="720"/>
        <w:outlineLvl w:val="0"/>
      </w:pPr>
      <w:r>
        <w:t>Environmental Geochemistry</w:t>
      </w:r>
    </w:p>
    <w:p w:rsidR="00BB53BD" w:rsidRPr="00341DF6" w:rsidRDefault="00BB53BD"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Alkhadher, S.A.A., Kadir, A.A., Zakaria, M.P., Al-Gheethi, A., Keshavarzifard, M., Masood, N., Alenezi, K.M., Magam, S.M., 2020. Linear alkylbenzenes in surface sediments of an estuarine and marine environment in peninsular Malaysia. Marine Pollution Bulletin 153, 111013.</w:t>
      </w:r>
    </w:p>
    <w:p w:rsidR="00BB53BD" w:rsidRPr="00341DF6" w:rsidRDefault="00BB53BD"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Arneson Westbrook, L., Chase, D.A., Mudge, J., Hughes, S.A., Lyon, D., Dong, M., Carr, D., Anderson, T.A., 2020. Terrestrial toxicity of synthetic gas-to-liquid versus crude oil–derived drilling fluids in soil. Environmental Toxicology and Chemistry 39, 721-730.</w:t>
      </w:r>
    </w:p>
    <w:p w:rsidR="002B0AA5" w:rsidRPr="00341DF6" w:rsidRDefault="002B0AA5"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Belila, A.M.P., Basso, M., Chinelatto, G.F., Kuroda, M.C., Vidal, A.C., 2020. Pore typing using nuclear magnetic resonance, an example with samples from Cretaceous pre-salt lacustrine carbonates in the Santos Basin, Brazil. Journal of Petroleum Science and Engineering 190, 107079.</w:t>
      </w:r>
    </w:p>
    <w:p w:rsidR="00F55A9D" w:rsidRPr="00341DF6" w:rsidRDefault="00F55A9D"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Boitsov, S., Klungsøyr, J., Jensen, H.K.B., 2020. Background concentrations of polycyclic aromatic hydrocarbons (PAHs) in deep core sediments from the Norwegian Sea and the Barents Sea: A proposed update of the OSPAR Commission background values for these sea areas. Chemosphere 251, 126344.</w:t>
      </w:r>
    </w:p>
    <w:p w:rsidR="0064405D" w:rsidRPr="00341DF6" w:rsidRDefault="0064405D"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 xml:space="preserve">Liu, B., He, Y., Zhang, Y., Sun, Y., Wang, Y., He, D.,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Natural and anthropogenic organic matter cycling between coastal wetlands and rivers: a case study from Liao River Delta. Estuarine, Coastal and Shelf Science 236, 106610.</w:t>
      </w:r>
    </w:p>
    <w:p w:rsidR="0064405D" w:rsidRPr="00341DF6" w:rsidRDefault="0064405D"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lastRenderedPageBreak/>
        <w:t xml:space="preserve">Luo, R., Ma, G., Bi, S., Duan, Q., Chen, J., Feng, Y., Liu, F., Lee, J.,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Machine learning for total organic carbon analysis of environmental water samples using high-throughput colorimetric sensors. Analyst 145, 2197-2203.</w:t>
      </w:r>
    </w:p>
    <w:p w:rsidR="005D79ED" w:rsidRPr="00341DF6" w:rsidRDefault="005D79ED"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Samanipour, S., Reid, M.J., Rundberget, J.T., Frost, T.K., Thomas, K.V., 2020. Concentration and distribution of naphthenic acids in the produced water from offshore Norwegian North Sea oilfields. Environmental Science &amp; Technology 54, 2707-2714.</w:t>
      </w:r>
    </w:p>
    <w:p w:rsidR="00911845" w:rsidRPr="00341DF6" w:rsidRDefault="00911845"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Yacovitch, T.I., Daube, C., Herndon, S.C., 2020. Methane emissions from offshore oil and gas platforms in the Gulf of Mexico. Environmental Science &amp; Technology 54, 3530-3538.</w:t>
      </w:r>
    </w:p>
    <w:p w:rsidR="00C90188" w:rsidRPr="00341DF6" w:rsidRDefault="00C90188"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 xml:space="preserve">Zhao, Z., Cheng, X., Hua, X., Jiang, B., Tian, C., Tang, J., Li, Q., Sun, H., Lin, T., Liao, Y., Zhang, G.,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Emerging and legacy per- and polyfluoroalkyl substances in water, sediment, and air of the Bohai Sea and its surrounding rivers. Environmental Pollution 263, 114391.</w:t>
      </w:r>
    </w:p>
    <w:p w:rsidR="001A3A58" w:rsidRDefault="001A3A58" w:rsidP="004872E2">
      <w:pPr>
        <w:widowControl/>
        <w:spacing w:before="0" w:after="120"/>
        <w:ind w:left="360" w:hanging="360"/>
      </w:pPr>
    </w:p>
    <w:p w:rsidR="001A3A58" w:rsidRDefault="001A3A58" w:rsidP="005765D4">
      <w:pPr>
        <w:pStyle w:val="H3"/>
        <w:spacing w:before="0" w:after="240"/>
        <w:ind w:hanging="360"/>
      </w:pPr>
      <w:r>
        <w:t>Bioremediation</w:t>
      </w:r>
    </w:p>
    <w:p w:rsidR="005C5B53" w:rsidRPr="00341DF6" w:rsidRDefault="005C5B53"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Collins, A.W., Elango, V., Curtis, D., Rodrigue, M., Pardue, J.H., 2020. Biogeochemical controls on biodegradation of buried oil along a coastal headland beach. Marine Pollution Bulletin 154, 111051.</w:t>
      </w:r>
    </w:p>
    <w:p w:rsidR="00DF0DA9" w:rsidRPr="00341DF6" w:rsidRDefault="00DF0DA9"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Hussain, C.M.</w:t>
      </w:r>
      <w:r>
        <w:rPr>
          <w:rFonts w:ascii="Times New Roman" w:hAnsi="Times New Roman" w:cs="Times New Roman"/>
          <w:sz w:val="24"/>
          <w:szCs w:val="24"/>
        </w:rPr>
        <w:t xml:space="preserve"> (ed.)</w:t>
      </w:r>
      <w:r w:rsidRPr="00341DF6">
        <w:rPr>
          <w:rFonts w:ascii="Times New Roman" w:hAnsi="Times New Roman" w:cs="Times New Roman"/>
          <w:sz w:val="24"/>
          <w:szCs w:val="24"/>
        </w:rPr>
        <w:t>, 2020. The Handbook of Environmental Remediation: Classic and Modern Techniques</w:t>
      </w:r>
      <w:r>
        <w:rPr>
          <w:rFonts w:ascii="Times New Roman" w:hAnsi="Times New Roman" w:cs="Times New Roman"/>
          <w:sz w:val="24"/>
          <w:szCs w:val="24"/>
        </w:rPr>
        <w:t>.</w:t>
      </w:r>
      <w:r w:rsidRPr="00341DF6">
        <w:rPr>
          <w:rFonts w:ascii="Times New Roman" w:hAnsi="Times New Roman" w:cs="Times New Roman"/>
          <w:sz w:val="24"/>
          <w:szCs w:val="24"/>
        </w:rPr>
        <w:t xml:space="preserve"> Royal Society of Chemistry, 506</w:t>
      </w:r>
      <w:r>
        <w:rPr>
          <w:rFonts w:ascii="Times New Roman" w:hAnsi="Times New Roman" w:cs="Times New Roman"/>
          <w:sz w:val="24"/>
          <w:szCs w:val="24"/>
        </w:rPr>
        <w:t xml:space="preserve"> pp</w:t>
      </w:r>
      <w:r w:rsidRPr="00341DF6">
        <w:rPr>
          <w:rFonts w:ascii="Times New Roman" w:hAnsi="Times New Roman" w:cs="Times New Roman"/>
          <w:sz w:val="24"/>
          <w:szCs w:val="24"/>
        </w:rPr>
        <w:t>.</w:t>
      </w:r>
    </w:p>
    <w:p w:rsidR="00672046" w:rsidRPr="00341DF6" w:rsidRDefault="00672046"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Leech, C., Tighe, M.K., Pereg, L., Winter, G., McMillan, M., Esmaeili, A., Wilson, S.C., 2020. Bioaccessibility constrains the co-composting bioremediation of field aged PAH contaminated soils. International Biodeterioration &amp; Biodegradation 149, 104922.</w:t>
      </w:r>
    </w:p>
    <w:p w:rsidR="00123F4A" w:rsidRPr="00341DF6" w:rsidRDefault="00123F4A"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Van Leeuwen, J.A., Hartog, N., Gerritse, J., Gallacher, C., Helmus, R., Brock, O., Parsons, J.R., Hassanizadeh, S.M., 2020. The dissolution and microbial degradation of mobile aromatic hydrocarbons from a Pintsch gas tar DNAPL source zone. Science of The Total Environment 722, 137797.</w:t>
      </w:r>
    </w:p>
    <w:p w:rsidR="001A3A58" w:rsidRDefault="001A3A58" w:rsidP="00995666">
      <w:pPr>
        <w:spacing w:before="0" w:after="240"/>
        <w:ind w:left="360" w:hanging="360"/>
        <w:rPr>
          <w:b/>
          <w:u w:val="single"/>
        </w:rPr>
      </w:pPr>
    </w:p>
    <w:p w:rsidR="006A33BC" w:rsidRDefault="006A33BC" w:rsidP="006A33BC">
      <w:pPr>
        <w:pStyle w:val="H3"/>
        <w:spacing w:before="0" w:after="240"/>
        <w:ind w:hanging="360"/>
      </w:pPr>
      <w:r>
        <w:t>Deepwater Horizon/Macondo/Other Oil Spills</w:t>
      </w:r>
    </w:p>
    <w:p w:rsidR="006A33BC" w:rsidRPr="00341DF6" w:rsidRDefault="006A33BC"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Bjerstedt, T.W., Shedd, W.W., Natter, M.G., Abadie, P.B., Moridis, G.J., Reagan, M.T., 2020. Evaluation of hydrocarbon broaching after subsurface containment failure, Gulf of Mexico. American Association of Petroleum Geologists Bulletin 104, 845-862.</w:t>
      </w:r>
    </w:p>
    <w:p w:rsidR="006A33BC" w:rsidRPr="00341DF6" w:rsidRDefault="006A33BC"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Bonisoli-Alquati, A., Xu, W., Stouffer, P.C., Taylor, S.S., 2020. Transcriptome analysis indicates a broad range of toxic effects of </w:t>
      </w:r>
      <w:r w:rsidRPr="00341DF6">
        <w:rPr>
          <w:rFonts w:ascii="Times New Roman" w:hAnsi="Times New Roman" w:cs="Times New Roman"/>
          <w:i/>
          <w:sz w:val="24"/>
          <w:szCs w:val="24"/>
        </w:rPr>
        <w:t>Deepwater Horizon</w:t>
      </w:r>
      <w:r w:rsidRPr="00341DF6">
        <w:rPr>
          <w:rFonts w:ascii="Times New Roman" w:hAnsi="Times New Roman" w:cs="Times New Roman"/>
          <w:sz w:val="24"/>
          <w:szCs w:val="24"/>
        </w:rPr>
        <w:t xml:space="preserve"> oil on Seaside Sparrows. Science of The Total Environment 720, 137583.</w:t>
      </w:r>
    </w:p>
    <w:p w:rsidR="006A33BC" w:rsidRPr="00341DF6" w:rsidRDefault="006A33BC"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Collins, A.W., Elango, V., Curtis, D., Rodrigue, M., Pardue, J.H., 2020. Biogeochemical controls on biodegradation of buried oil along a coastal headland beach. Marine Pollution Bulletin 154, 111051.</w:t>
      </w:r>
    </w:p>
    <w:p w:rsidR="006A33BC" w:rsidRPr="00341DF6" w:rsidRDefault="006A33BC"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lastRenderedPageBreak/>
        <w:t>Faksness, L.-G., Altin, D., Størseth, T.R., Nordtug, T., Hansen, B.H., 2020. Comparison of artificially weathered Macondo oil with field samples and evidence that weathering does not increase environmental acute toxicity. Marine Environmental Research 157, 104928.</w:t>
      </w:r>
    </w:p>
    <w:p w:rsidR="006A33BC" w:rsidRPr="00341DF6" w:rsidRDefault="006A33BC"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Farrington, J.W., Jia, X., Tripp, B.W., Livramento, J.B., Frew, N.M., 2020. Fuel oil hydrocarbons in </w:t>
      </w:r>
      <w:r w:rsidRPr="00341DF6">
        <w:rPr>
          <w:rFonts w:ascii="Times New Roman" w:hAnsi="Times New Roman" w:cs="Times New Roman"/>
          <w:i/>
          <w:sz w:val="24"/>
          <w:szCs w:val="24"/>
        </w:rPr>
        <w:t>Mytilus edulis</w:t>
      </w:r>
      <w:r w:rsidRPr="00341DF6">
        <w:rPr>
          <w:rFonts w:ascii="Times New Roman" w:hAnsi="Times New Roman" w:cs="Times New Roman"/>
          <w:sz w:val="24"/>
          <w:szCs w:val="24"/>
        </w:rPr>
        <w:t xml:space="preserve"> in Buzzards Bay, Massachusetts USA: Comparison of data from two oil spills. Marine Pollution Bulletin 153, 111034.</w:t>
      </w:r>
    </w:p>
    <w:p w:rsidR="006A33BC" w:rsidRPr="00341DF6" w:rsidRDefault="006A33BC"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Klerks, P.L., Kascak, A., Cazan, A.M., Franco, M.E., Louka, F.R., 2020. A mesocosm assessment of the effect of bioturbation by the ghost shrimp (</w:t>
      </w:r>
      <w:r w:rsidRPr="00341DF6">
        <w:rPr>
          <w:rFonts w:ascii="Times New Roman" w:hAnsi="Times New Roman" w:cs="Times New Roman"/>
          <w:i/>
          <w:sz w:val="24"/>
          <w:szCs w:val="24"/>
        </w:rPr>
        <w:t>Lepidophthalmus louisianensis</w:t>
      </w:r>
      <w:r w:rsidRPr="00341DF6">
        <w:rPr>
          <w:rFonts w:ascii="Times New Roman" w:hAnsi="Times New Roman" w:cs="Times New Roman"/>
          <w:sz w:val="24"/>
          <w:szCs w:val="24"/>
        </w:rPr>
        <w:t>) on the fate of petroleum hydrocarbons in the intertidal zone. Environmental Toxicology and Chemistry 39, 637-647.</w:t>
      </w:r>
    </w:p>
    <w:p w:rsidR="006A33BC" w:rsidRPr="00341DF6" w:rsidRDefault="006A33BC"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Liubartseva, S., Smaoui, M., Coppini, G., Gonzalez, G., Lecci, R., Cretì, S., Federico, I., 2020. Model-based reconstruction of the </w:t>
      </w:r>
      <w:r w:rsidRPr="00341DF6">
        <w:rPr>
          <w:rFonts w:ascii="Times New Roman" w:hAnsi="Times New Roman" w:cs="Times New Roman"/>
          <w:i/>
          <w:sz w:val="24"/>
          <w:szCs w:val="24"/>
        </w:rPr>
        <w:t>Ulysse-Virginia</w:t>
      </w:r>
      <w:r w:rsidRPr="00341DF6">
        <w:rPr>
          <w:rFonts w:ascii="Times New Roman" w:hAnsi="Times New Roman" w:cs="Times New Roman"/>
          <w:sz w:val="24"/>
          <w:szCs w:val="24"/>
        </w:rPr>
        <w:t xml:space="preserve"> oil spill, October–November 2018. Marine Pollution Bulletin 154, 111002.</w:t>
      </w:r>
    </w:p>
    <w:p w:rsidR="006A33BC" w:rsidRPr="00341DF6" w:rsidRDefault="006A33BC"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Romero, I.C., Judkins, H., Vecchione, M., 2020. Temporal variability of polycyclic aromatic hydrocarbons in deep-sea cephalopods of the northern Gulf of Mexico. Frontiers in Marine Science 7, 54. doi: 10.3389/fmars.2020.00054.</w:t>
      </w:r>
    </w:p>
    <w:p w:rsidR="006A33BC" w:rsidRPr="00341DF6" w:rsidRDefault="006A33BC"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Sajid, Z., Khan, F., Veitch, B., 2020. Dynamic ecological risk modelling of hydrocarbon release scenarios in Arctic waters. Marine Pollution Bulletin 153, 111001.</w:t>
      </w:r>
    </w:p>
    <w:p w:rsidR="006A33BC" w:rsidRPr="00523709" w:rsidRDefault="006A33BC" w:rsidP="006A33BC">
      <w:pPr>
        <w:pStyle w:val="EndNoteBibliography"/>
        <w:spacing w:after="120"/>
        <w:ind w:left="360"/>
        <w:rPr>
          <w:rFonts w:ascii="Times New Roman" w:hAnsi="Times New Roman" w:cs="Times New Roman"/>
          <w:sz w:val="24"/>
          <w:szCs w:val="24"/>
        </w:rPr>
      </w:pPr>
    </w:p>
    <w:p w:rsidR="00B444EF" w:rsidRDefault="00B444EF" w:rsidP="00995666">
      <w:pPr>
        <w:pStyle w:val="H3"/>
        <w:spacing w:before="0" w:after="240"/>
        <w:ind w:hanging="360"/>
      </w:pPr>
      <w:r>
        <w:t>Microplastics</w:t>
      </w:r>
    </w:p>
    <w:p w:rsidR="00F407FD" w:rsidRPr="00341DF6" w:rsidRDefault="00F407F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Okshevsky, M., Gautier, E., Farner, J.M., Schreiber, L., Tufenkji, N., 2020. Biofilm formation by marine bacteria is impacted by concentration and surface functionalization of polystyrene nanoparticles in a species-specific manner. Environmental Microbiology Reports 12, 203-213.</w:t>
      </w:r>
    </w:p>
    <w:p w:rsidR="001467FF" w:rsidRPr="00341DF6" w:rsidRDefault="001467FF"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Sobhani, Z., Zhang, X., Gibson, C., Naidu, R., Megharaj, M., Fang, C., 2020. Identification and visualisation of microplastics/nanoplastics by Raman imaging (i): Down to 100 nm. Water Research 174, 115658.</w:t>
      </w:r>
    </w:p>
    <w:p w:rsidR="001467FF" w:rsidRPr="00341DF6" w:rsidRDefault="001467FF"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Zhang, X., Zhang, H., Yu, K., Li, N., Liu, Y., Liu, X., Zhang, H., Yang, B., Wu, W., Gao, J., Jiang, J.,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Rapid monitoring approach for microplastics using portable pyrolysis-mass spectrometry. Analytical Chemistry 92, 4656-4662.</w:t>
      </w:r>
    </w:p>
    <w:p w:rsidR="00B444EF" w:rsidRDefault="00B444EF" w:rsidP="00995666">
      <w:pPr>
        <w:spacing w:before="0" w:after="240"/>
        <w:ind w:left="360" w:hanging="360"/>
        <w:rPr>
          <w:b/>
          <w:u w:val="single"/>
        </w:rPr>
      </w:pPr>
    </w:p>
    <w:p w:rsidR="00717950" w:rsidRDefault="00717950" w:rsidP="00995666">
      <w:pPr>
        <w:pStyle w:val="H3"/>
        <w:spacing w:before="0" w:after="240"/>
        <w:ind w:hanging="360"/>
      </w:pPr>
      <w:r>
        <w:t>Oil Sand Process Waters/Tailing Ponds</w:t>
      </w:r>
    </w:p>
    <w:p w:rsidR="001467FF" w:rsidRPr="00341DF6" w:rsidRDefault="001467FF"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Ahad, J.M.E., Pakdel, H., Gammon, P.R., Mayer, B., Savard, M.M., Peru, K.M., Headley, J.V., 2020. Distinguishing natural from anthropogenic sources of acid extractable organics in groundwater near oil sands tailings ponds. Environmental Science &amp; Technology 54, 2790-2799.</w:t>
      </w:r>
    </w:p>
    <w:p w:rsidR="001467FF" w:rsidRPr="00341DF6" w:rsidRDefault="001467FF"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Chen, H.-S., Li, X., Zhang, Q.-M., Liu, Y.-S.,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Effects of hot water-based extraction process on the removal of petroleum hydrocarbons from the oil-contaminated soil. Energy &amp; Fuels 34, 3621-3627.</w:t>
      </w:r>
    </w:p>
    <w:p w:rsidR="00717950" w:rsidRDefault="00717950" w:rsidP="00995666">
      <w:pPr>
        <w:spacing w:before="0" w:after="240"/>
        <w:ind w:left="360" w:hanging="360"/>
        <w:rPr>
          <w:b/>
          <w:u w:val="single"/>
        </w:rPr>
      </w:pPr>
    </w:p>
    <w:p w:rsidR="00277283" w:rsidRDefault="00277283" w:rsidP="00995666">
      <w:pPr>
        <w:pStyle w:val="H3"/>
        <w:spacing w:before="0" w:after="240"/>
        <w:ind w:hanging="360"/>
      </w:pPr>
      <w:r>
        <w:t>Unconventional</w:t>
      </w:r>
      <w:r w:rsidR="00717950">
        <w:t>Shale Gas-CBM</w:t>
      </w:r>
      <w:r>
        <w:t xml:space="preserve"> Resources</w:t>
      </w:r>
    </w:p>
    <w:p w:rsidR="0049088E" w:rsidRPr="00341DF6" w:rsidRDefault="0049088E"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Milkov, A.V., Schwietzke, S., Allen, G., Sherwood, O.A., Etiope, G., 2020. Using global isotopic data to constrain the role of shale gas production in recent increases in atmospheric methane. Scientific Reports 10, 4199.</w:t>
      </w:r>
    </w:p>
    <w:p w:rsidR="005D79ED" w:rsidRPr="00341DF6" w:rsidRDefault="005D79E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Scanlon, B.R., Ikonnikova, S., Yang, Q., Reedy, R.C., 2020. Will water issues constrain oil and gas production in the United States? Environmental Science &amp; Technology 54, 3510-3519.</w:t>
      </w:r>
    </w:p>
    <w:p w:rsidR="005D79ED" w:rsidRPr="00341DF6" w:rsidRDefault="005D79E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Schultz, R., Wang, R., 2020. Newly emerging cases of hydraulic fracturing induced seismicity in the Duvernay East Shale Basin. Tectonophysics 779, 228393.</w:t>
      </w:r>
    </w:p>
    <w:p w:rsidR="00911845" w:rsidRPr="00341DF6" w:rsidRDefault="00911845"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Yan, H., Tian, L., Feng, R., Mitri, H., Chen, J., He, K., Zhang, Y., Yang, S., Xu, Z.,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Liquid nitrogen waterless fracking for the environmental protection of arid areas during unconventional resource extraction. Science of The Total Environment 721, 137719.</w:t>
      </w:r>
    </w:p>
    <w:p w:rsidR="002731DB" w:rsidRDefault="002731DB" w:rsidP="005765D4">
      <w:pPr>
        <w:spacing w:before="0" w:after="240"/>
        <w:ind w:left="720" w:hanging="360"/>
        <w:rPr>
          <w:noProof/>
        </w:rPr>
      </w:pPr>
    </w:p>
    <w:p w:rsidR="001A3A58" w:rsidRDefault="001A3A58" w:rsidP="008741AD">
      <w:pPr>
        <w:pStyle w:val="H2"/>
        <w:spacing w:before="0" w:after="240"/>
        <w:ind w:left="720" w:hanging="720"/>
        <w:outlineLvl w:val="0"/>
      </w:pPr>
      <w:r>
        <w:t>Evolution/Paleontology/Palynology</w:t>
      </w:r>
    </w:p>
    <w:p w:rsidR="00F55A9D" w:rsidRPr="00341DF6" w:rsidRDefault="00F55A9D"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Bobrovskiy, I., Hope, J.M., Golubkova, E., Brocks, J.J., 2020. Food sources for the Ediacara biota communities. Nature Communications 11, 1261.</w:t>
      </w:r>
    </w:p>
    <w:p w:rsidR="005C5B53" w:rsidRPr="00341DF6" w:rsidRDefault="005C5B53"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 xml:space="preserve">Cloutier, R., Clement, A.M., Lee, M.S.Y., Noël, R., Béchard, I., Roy, V., Long, J.A., 2020. </w:t>
      </w:r>
      <w:r w:rsidRPr="00341DF6">
        <w:rPr>
          <w:rFonts w:ascii="Times New Roman" w:hAnsi="Times New Roman" w:cs="Times New Roman"/>
          <w:i/>
          <w:sz w:val="24"/>
          <w:szCs w:val="24"/>
        </w:rPr>
        <w:t xml:space="preserve">Elpistostege </w:t>
      </w:r>
      <w:r w:rsidRPr="00341DF6">
        <w:rPr>
          <w:rFonts w:ascii="Times New Roman" w:hAnsi="Times New Roman" w:cs="Times New Roman"/>
          <w:sz w:val="24"/>
          <w:szCs w:val="24"/>
        </w:rPr>
        <w:t>and the origin of the vertebrate hand. Nature 579, 549-554.</w:t>
      </w:r>
    </w:p>
    <w:p w:rsidR="006A33BC" w:rsidRPr="00341DF6" w:rsidRDefault="006A33BC"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Dutta, S., Kumar, S., Singh, H., Khan, M.A., Barai, A., Tewari, A., Rana, R.S., Bera, S., Sen, S., Sahni, A., 2020. Chemical evidence of preserved collagen in 54-million-year-old fish vertebrae. Palaeontology 63, 195-202.</w:t>
      </w:r>
    </w:p>
    <w:p w:rsidR="006A33BC" w:rsidRPr="00341DF6" w:rsidRDefault="006A33BC"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Fabbri, M., Wiemann, J., Manucci, F., Briggs, D.E.G., 2020. Three-dimensional soft tissue preservation revealed in the skin of a non-avian dinosaur. Palaeontology 63, 185-193.</w:t>
      </w:r>
    </w:p>
    <w:p w:rsidR="006A33BC" w:rsidRPr="00341DF6" w:rsidRDefault="006A33BC"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Field, D.J., Benito, J., Chen, A., Jagt, J.W.M., Ksepka, D.T., 2020. Late Cretaceous neornithine from Europe illuminates the origins of crown birds. Nature 579, 397-401.</w:t>
      </w:r>
    </w:p>
    <w:p w:rsidR="0049088E" w:rsidRPr="00341DF6" w:rsidRDefault="0049088E"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Min, X., Hua, H., Liu, L., Sun, B., Cui, Z., Dai, Q., 2020. A diverse calcified cyanobacteria assemblage in the latest Ediacaran. Precambrian Research 342, 105669.</w:t>
      </w:r>
    </w:p>
    <w:p w:rsidR="0049088E" w:rsidRPr="00341DF6" w:rsidRDefault="0049088E"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Mychajliw, A.M., Rice, K.A., Tewksbury, L.R., Southon, J.R., Lindsey, E.L., 2020. Exceptionally preserved asphaltic coprolites expand the spatiotemporal range of a North American paleoecological proxy. Scientific Reports 10, 5069.</w:t>
      </w:r>
    </w:p>
    <w:p w:rsidR="003316B7" w:rsidRPr="00341DF6" w:rsidRDefault="003316B7"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Napier, J.D., de Lafontaine, G., Chipman, M.L., 2020. The evolution of paleoecology. Trends in Ecology &amp; Evolution 35, 293-295.</w:t>
      </w:r>
    </w:p>
    <w:p w:rsidR="00F407FD" w:rsidRPr="00341DF6" w:rsidRDefault="00F407FD"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Padian, K., 2020. Poultry through time. Nature 579, 351-352.</w:t>
      </w:r>
    </w:p>
    <w:p w:rsidR="00BC6CFF" w:rsidRPr="00341DF6" w:rsidRDefault="00BC6CFF"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 xml:space="preserve">Shi, T., Wu, G., Li, R., 2020. Structures of siliceous hot spring deposits and mechanism of microbial mineralization and diagenesis. Acta Sedimentologica Sinica 38, 113-123 </w:t>
      </w:r>
    </w:p>
    <w:p w:rsidR="00123F4A" w:rsidRPr="00341DF6" w:rsidRDefault="00123F4A"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lastRenderedPageBreak/>
        <w:t xml:space="preserve">Topper, T.P., Guo, J., Clausen, S., Skovsted, C.B., Zhang, Z., 2020. Reply to ‘Re-evaluating the phylogenetic position of the enigmatic early Cambrian deuterostome </w:t>
      </w:r>
      <w:r w:rsidRPr="00341DF6">
        <w:rPr>
          <w:rFonts w:ascii="Times New Roman" w:hAnsi="Times New Roman" w:cs="Times New Roman"/>
          <w:i/>
          <w:sz w:val="24"/>
          <w:szCs w:val="24"/>
        </w:rPr>
        <w:t>Yanjiahella’</w:t>
      </w:r>
      <w:r w:rsidRPr="00341DF6">
        <w:rPr>
          <w:rFonts w:ascii="Times New Roman" w:hAnsi="Times New Roman" w:cs="Times New Roman"/>
          <w:sz w:val="24"/>
          <w:szCs w:val="24"/>
        </w:rPr>
        <w:t>. Nature Communications 11, 1287.</w:t>
      </w:r>
    </w:p>
    <w:p w:rsidR="00911845" w:rsidRPr="00341DF6" w:rsidRDefault="00911845"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Vogel, G., 2020. Oldest fossil of modern birds is a ‘turducken’. Science 367, 1290.</w:t>
      </w:r>
    </w:p>
    <w:p w:rsidR="00911845" w:rsidRPr="00341DF6" w:rsidRDefault="00911845"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 xml:space="preserve">Xing, L., O’Connor, J.K., Schmitz, L., Chiappe, L.M., McKellar, R.C., Yi, Q., Li, G.,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Hummingbird-sized dinosaur from the Cretaceous period of Myanmar. Nature 579, 245-249.</w:t>
      </w:r>
    </w:p>
    <w:p w:rsidR="00911845" w:rsidRPr="00341DF6" w:rsidRDefault="00911845"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 xml:space="preserve">Zamora, S., Wright, D.F., Mooi, R., Lefebvre, B., Guensburg, T.E., Gorzelak, P., David, B., Sumrall, C.D., Cole, S.R., Hunter, A.W., Sprinkle, J., Thompson, J.R., Ewin, T.A.M., Fatka, O., Nardin, E., Reich, M., Nohejlová, M., Rahman, I.A., 2020. Re-evaluating the phylogenetic position of the enigmatic early Cambrian deuterostome </w:t>
      </w:r>
      <w:r w:rsidRPr="00341DF6">
        <w:rPr>
          <w:rFonts w:ascii="Times New Roman" w:hAnsi="Times New Roman" w:cs="Times New Roman"/>
          <w:i/>
          <w:sz w:val="24"/>
          <w:szCs w:val="24"/>
        </w:rPr>
        <w:t>Yanjiahella</w:t>
      </w:r>
      <w:r w:rsidRPr="00341DF6">
        <w:rPr>
          <w:rFonts w:ascii="Times New Roman" w:hAnsi="Times New Roman" w:cs="Times New Roman"/>
          <w:sz w:val="24"/>
          <w:szCs w:val="24"/>
        </w:rPr>
        <w:t>. Nature Communications 11, 1286.</w:t>
      </w:r>
    </w:p>
    <w:p w:rsidR="001A3A58" w:rsidRPr="00AE0525" w:rsidRDefault="001A3A58" w:rsidP="005765D4">
      <w:pPr>
        <w:widowControl/>
        <w:spacing w:before="0" w:after="240"/>
        <w:ind w:left="360" w:hanging="360"/>
      </w:pPr>
    </w:p>
    <w:p w:rsidR="00F407FD" w:rsidRDefault="00F407FD" w:rsidP="00F407FD">
      <w:pPr>
        <w:pStyle w:val="H3"/>
        <w:spacing w:before="0" w:after="240"/>
        <w:ind w:hanging="360"/>
      </w:pPr>
      <w:r>
        <w:t>Hominid Evolution</w:t>
      </w:r>
    </w:p>
    <w:p w:rsidR="005D79ED" w:rsidRPr="00341DF6" w:rsidRDefault="005D79E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Semaw, S., Rogers, M.J., Simpson, S.W., Levin, N.E., Quade, J., Dunbar, N., McIntosh, W.C., Cáceres, I., Stinchcomb, G.E., Holloway, R.L., Brown, F.H., Butler, R.F., Stout, D., Everett, M., 2020. Co-occurrence of Acheulian and Oldowan artifacts with </w:t>
      </w:r>
      <w:r w:rsidRPr="00341DF6">
        <w:rPr>
          <w:rFonts w:ascii="Times New Roman" w:hAnsi="Times New Roman" w:cs="Times New Roman"/>
          <w:i/>
          <w:sz w:val="24"/>
          <w:szCs w:val="24"/>
        </w:rPr>
        <w:t xml:space="preserve">Homo erectus </w:t>
      </w:r>
      <w:r w:rsidRPr="00341DF6">
        <w:rPr>
          <w:rFonts w:ascii="Times New Roman" w:hAnsi="Times New Roman" w:cs="Times New Roman"/>
          <w:sz w:val="24"/>
          <w:szCs w:val="24"/>
        </w:rPr>
        <w:t>cranial fossils from Gona, Afar, Ethiopia. Science Advances 6, eaaw4694.</w:t>
      </w:r>
    </w:p>
    <w:p w:rsidR="00123F4A" w:rsidRPr="00341DF6" w:rsidRDefault="00123F4A"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Tylén, K., Fusaroli, R., Rojo, S., Heimann, K., Fay, N., Johannsen, N.N., Riede, F., Lombard, M., 2020. The evolution of early symbolic behavior in </w:t>
      </w:r>
      <w:r w:rsidRPr="00341DF6">
        <w:rPr>
          <w:rFonts w:ascii="Times New Roman" w:hAnsi="Times New Roman" w:cs="Times New Roman"/>
          <w:i/>
          <w:sz w:val="24"/>
          <w:szCs w:val="24"/>
        </w:rPr>
        <w:t>Homo sapiens</w:t>
      </w:r>
      <w:r w:rsidRPr="00341DF6">
        <w:rPr>
          <w:rFonts w:ascii="Times New Roman" w:hAnsi="Times New Roman" w:cs="Times New Roman"/>
          <w:sz w:val="24"/>
          <w:szCs w:val="24"/>
        </w:rPr>
        <w:t>. Proceedings of the National Academy of Sciences 117, 4578.</w:t>
      </w:r>
    </w:p>
    <w:p w:rsidR="00911845" w:rsidRPr="00341DF6" w:rsidRDefault="00911845"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Will, M., 2020. Neanderthal surf and turf. Science 367, 1422-1423.</w:t>
      </w:r>
    </w:p>
    <w:p w:rsidR="00C90188" w:rsidRPr="00341DF6" w:rsidRDefault="00C90188"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Zilhão, J., Angelucci, D.E., Igreja, M.A., Arnold, L.J., Badal, E., Callapez, P., Cardoso, J.L., d’Errico, F., Daura, J., Demuro, M., Deschamps, M., Dupont, C., Gabriel, S., Hoffmann, D.L., Legoinha, P., Matias, H., Monge Soares, A.M., Nabais, M., Portela, P., Queffelec, A., Rodrigues, F., Souto, P., 2020. Last Interglacial Iberian Neandertals as fisher-hunter-gatherers. Science 367, eaaz7943.</w:t>
      </w:r>
    </w:p>
    <w:p w:rsidR="00F407FD" w:rsidRPr="0083503B" w:rsidRDefault="00F407FD" w:rsidP="00F407FD">
      <w:pPr>
        <w:pStyle w:val="EndNoteBibliography"/>
        <w:spacing w:after="240"/>
        <w:ind w:left="720" w:hanging="360"/>
        <w:rPr>
          <w:rFonts w:ascii="Times New Roman" w:hAnsi="Times New Roman" w:cs="Times New Roman"/>
          <w:sz w:val="24"/>
          <w:szCs w:val="24"/>
        </w:rPr>
      </w:pPr>
    </w:p>
    <w:p w:rsidR="001A3A58" w:rsidRDefault="001A3A58" w:rsidP="005765D4">
      <w:pPr>
        <w:pStyle w:val="H3"/>
        <w:spacing w:before="0" w:after="240"/>
        <w:ind w:hanging="360"/>
      </w:pPr>
      <w:r>
        <w:t>Origins of Life/Microbial Genomics</w:t>
      </w:r>
    </w:p>
    <w:p w:rsidR="00BB53BD" w:rsidRPr="00341DF6" w:rsidRDefault="00BB53B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Akand, E.H., Downard, K.M., 2020. Reimaging the Tree of Life using a mass based phylonumerics approach. Evolutionary Biology 47, 76-84.</w:t>
      </w:r>
    </w:p>
    <w:p w:rsidR="00F55A9D" w:rsidRPr="00341DF6" w:rsidRDefault="00F55A9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Burton, Z.F., 2020. The 3-minihelix tRNA evolution theorem. Journal of Molecular Evolution 88, 234-242.</w:t>
      </w:r>
    </w:p>
    <w:p w:rsidR="005C5B53" w:rsidRPr="00341DF6" w:rsidRDefault="005C5B53"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Damer, B., Deamer, D., 2020. The hot spring hypothesis for an origin of life. Astrobiology 20, 429-452.</w:t>
      </w:r>
    </w:p>
    <w:p w:rsidR="005C5B53" w:rsidRPr="00341DF6" w:rsidRDefault="005C5B53"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Demongeot, J., Seligmann, H., 2020. RNA rings strengthen hairpin accretion hypotheses for tRNA evolution: A reply to commentaries by Z.F. Burton and M. Di Giulio. Journal of Molecular Evolution 88, 243-252.</w:t>
      </w:r>
    </w:p>
    <w:p w:rsidR="005C5B53" w:rsidRPr="00341DF6" w:rsidRDefault="005C5B53"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lastRenderedPageBreak/>
        <w:t>Di Giulio, M., 2020. An RNA ring was not the progenitor of the tRNA nolecule. Journal of Molecular Evolution 88, 228-233.</w:t>
      </w:r>
    </w:p>
    <w:p w:rsidR="00DF0DA9" w:rsidRPr="00341DF6" w:rsidRDefault="00DF0DA9"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Healy, T.M., Burton, R.S., 2020. Strong selective effects of mitochondrial DNA on the nuclear genome. Proceedings of the National Academy of Sciences 117, 6616-6621.</w:t>
      </w:r>
    </w:p>
    <w:p w:rsidR="00DF0DA9" w:rsidRPr="00341DF6" w:rsidRDefault="00DF0DA9"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Hickman-Lewis, K., Cavalazzi, B., Sorieul, S., Gautret, P., Foucher, F., Whitehouse, M.J., Jeon, H., Georgelin, T., Cockell, C.S., Westall, F., 2020. Metallomics in deep time and the influence of ocean chemistry on the metabolic landscapes of Earth’s earliest ecosystems. Scientific Reports 10, 4965.</w:t>
      </w:r>
    </w:p>
    <w:p w:rsidR="0064405D" w:rsidRPr="00341DF6" w:rsidRDefault="0064405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Liberles, D.A., Chang, B., Geiler-Samerotte, K., Goldman, A., Hey, J., Kaçar, B., Meyer, M., Murphy, W., Posada, D., Storfer, A., 2020. Emerging frontiers in the study of molecular evolution. Journal of Molecular Evolution 88, 211-226.</w:t>
      </w:r>
    </w:p>
    <w:p w:rsidR="0049088E" w:rsidRPr="00341DF6" w:rsidRDefault="0049088E"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McGeoch, M.W., Dikler, S., McGeoch, J.E.M., 2020. Hemolithin: a meteoritic protein containing iron and lithium. arXiv:2002.11688.</w:t>
      </w:r>
    </w:p>
    <w:p w:rsidR="0049088E" w:rsidRPr="00341DF6" w:rsidRDefault="0049088E"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Mendoza-Torres, E., Cruz-Catañeda, J., Negrón-Mendoza, A., Heredia, A., 2020. Computer and experimental simulation of alloxazine synthesis from gamma irradiation of amino acids on Iceland spar: A prebiotic chemistry perspective. Journal of Molecular Evolution 88, 284-291.</w:t>
      </w:r>
    </w:p>
    <w:p w:rsidR="0049088E" w:rsidRPr="00341DF6" w:rsidRDefault="0049088E"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Meyer, M.M., 2020. Debating tRNA origins. Journal of Molecular Evolution 88, 227-227.</w:t>
      </w:r>
    </w:p>
    <w:p w:rsidR="005D79ED" w:rsidRPr="00341DF6" w:rsidRDefault="005D79E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Sarai, C., Tanifuji, G., Nakayama, T., Kamikawa, R., Takahashi, K., Yazaki, E., Matsuo, E., Miyashita, H., Ishida, K.-i., Iwataki, M., Inagaki, Y., 2020. Dinoflagellates with relic endosymbiont nuclei as models for elucidating organellogenesis. Proceedings of the National Academy of Sciences 117, 5364-5375.</w:t>
      </w:r>
    </w:p>
    <w:p w:rsidR="00BC6CFF" w:rsidRPr="00341DF6" w:rsidRDefault="00BC6CFF"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Shimomura, T., Yonekawa, Y., Nagura, H., Tateyama, M., Fujiyoshi, Y., Irie, K., 2020. A native prokaryotic voltage-dependent calcium channel with a novel selectivity filter sequence. eLife 9, e52828.</w:t>
      </w:r>
    </w:p>
    <w:p w:rsidR="00123F4A" w:rsidRPr="00341DF6" w:rsidRDefault="00123F4A"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Turner, B., Burkhart, B.W., Weidenbach, K., Ross, R., Limbach, P.A., Schmitz, R.A., de Crécy-Lagard, V., Stedman, K.M., Santangelo, T.J., Iwata-Reuyl, D.,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Archaeosine modification of archaeal tRNA: Role in structural stabilization. Journal of Bacteriology 202, e00748-00719.</w:t>
      </w:r>
    </w:p>
    <w:p w:rsidR="00911845" w:rsidRPr="00341DF6" w:rsidRDefault="00911845"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White, L.M., Shibuya, T., Vance, S.D., Christensen, L.E., Bhartia, R., Kidd, R., Hoffmann, A., Stucky, G.D., Kanik, I., Russell, M.J., 2020. Simulating serpentinization as it could apply to the emergence of life using the JPL hydrothermal reactor. Astrobiology 20, 307-326.</w:t>
      </w:r>
    </w:p>
    <w:p w:rsidR="00911845" w:rsidRPr="00341DF6" w:rsidRDefault="00911845"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Xavier, J.C., Hordijk, W., Kauffman, S., Steel, M., Martin, W.F., 2020. Autocatalytic chemical networks at the origin of metabolism. Proceedings of the Royal Society B: Biological Sciences 287, 20192377.</w:t>
      </w:r>
    </w:p>
    <w:p w:rsidR="001A3A58" w:rsidRDefault="001A3A58" w:rsidP="005765D4">
      <w:pPr>
        <w:spacing w:before="0" w:after="240"/>
        <w:ind w:left="720" w:hanging="360"/>
      </w:pPr>
    </w:p>
    <w:p w:rsidR="001A3A58" w:rsidRDefault="001A3A58" w:rsidP="008741AD">
      <w:pPr>
        <w:pStyle w:val="H2"/>
        <w:spacing w:before="0" w:after="240"/>
        <w:ind w:left="720" w:hanging="720"/>
        <w:outlineLvl w:val="0"/>
      </w:pPr>
      <w:r>
        <w:lastRenderedPageBreak/>
        <w:t>Fluid Inclusions</w:t>
      </w:r>
    </w:p>
    <w:p w:rsidR="001467FF" w:rsidRPr="00341DF6" w:rsidRDefault="001467FF"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Duan, W., Li, C.-F., Chen, X.-G., Luo, C.-F., Tuo, L., Liu, J.-Z., 2020. Diagenetic differences caused by gas charging with different compositions in the XF13 block of the Yinggehai Basin, South China Sea. American Association of Petroleum Geologists Bulletin 104, 735-765.</w:t>
      </w:r>
    </w:p>
    <w:p w:rsidR="001467FF" w:rsidRPr="00341DF6" w:rsidRDefault="001467FF"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 xml:space="preserve">Fu, J., Chen, C., Li, M., Zhang, Z., Long, Z., Wang, T., Lu, X.,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Petroleum charging history of Neogene reservoir in the Baiyun Sag, Pearl River Mouth Basin, South China sea. Journal of Petroleum Science and Engineering 190, 106945.</w:t>
      </w:r>
    </w:p>
    <w:p w:rsidR="001467FF" w:rsidRPr="00341DF6" w:rsidRDefault="001467FF"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 xml:space="preserve">Huang, Y., Tarantola, A., Lu, W., Caumon, M.-C., He, S., Zhuang, X., Yan, D., Pironon, J., Wang, W.,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CH</w:t>
      </w:r>
      <w:r w:rsidRPr="00341DF6">
        <w:rPr>
          <w:rFonts w:ascii="Times New Roman" w:hAnsi="Times New Roman" w:cs="Times New Roman"/>
          <w:sz w:val="24"/>
          <w:szCs w:val="24"/>
          <w:vertAlign w:val="subscript"/>
        </w:rPr>
        <w:t>4</w:t>
      </w:r>
      <w:r w:rsidRPr="00341DF6">
        <w:rPr>
          <w:rFonts w:ascii="Times New Roman" w:hAnsi="Times New Roman" w:cs="Times New Roman"/>
          <w:sz w:val="24"/>
          <w:szCs w:val="24"/>
        </w:rPr>
        <w:t xml:space="preserve"> accumulation characteristics and relationship with deep CO</w:t>
      </w:r>
      <w:r w:rsidRPr="00341DF6">
        <w:rPr>
          <w:rFonts w:ascii="Times New Roman" w:hAnsi="Times New Roman" w:cs="Times New Roman"/>
          <w:sz w:val="24"/>
          <w:szCs w:val="24"/>
          <w:vertAlign w:val="subscript"/>
        </w:rPr>
        <w:t>2</w:t>
      </w:r>
      <w:r w:rsidRPr="00341DF6">
        <w:rPr>
          <w:rFonts w:ascii="Times New Roman" w:hAnsi="Times New Roman" w:cs="Times New Roman"/>
          <w:sz w:val="24"/>
          <w:szCs w:val="24"/>
        </w:rPr>
        <w:t xml:space="preserve"> fluid in Lishui sag, East China Sea Basin. Applied Geochemistry 115, 104563.</w:t>
      </w:r>
    </w:p>
    <w:p w:rsidR="001467FF" w:rsidRPr="00341DF6" w:rsidRDefault="001467FF"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Lécuyer, C., Fourel, F., Blamey, N., Brand, U., Fralick, P., 2020. δ</w:t>
      </w:r>
      <w:r w:rsidRPr="00341DF6">
        <w:rPr>
          <w:rFonts w:ascii="Times New Roman" w:hAnsi="Times New Roman" w:cs="Times New Roman"/>
          <w:sz w:val="24"/>
          <w:szCs w:val="24"/>
          <w:vertAlign w:val="superscript"/>
        </w:rPr>
        <w:t>2</w:t>
      </w:r>
      <w:r w:rsidRPr="00341DF6">
        <w:rPr>
          <w:rFonts w:ascii="Times New Roman" w:hAnsi="Times New Roman" w:cs="Times New Roman"/>
          <w:sz w:val="24"/>
          <w:szCs w:val="24"/>
        </w:rPr>
        <w:t>H of water from fluid inclusions in Proterozoic halite: Evidence for a deuterium-depleted hydrosphere? Chemical Geology 541, 119583.</w:t>
      </w:r>
    </w:p>
    <w:p w:rsidR="001A3A58" w:rsidRDefault="001A3A58" w:rsidP="008741AD">
      <w:pPr>
        <w:spacing w:before="0" w:after="240"/>
        <w:ind w:left="720" w:hanging="720"/>
      </w:pPr>
    </w:p>
    <w:p w:rsidR="001A3A58" w:rsidRDefault="001A3A58" w:rsidP="008741AD">
      <w:pPr>
        <w:pStyle w:val="H2"/>
        <w:spacing w:before="0" w:after="240"/>
        <w:ind w:left="720" w:hanging="720"/>
        <w:outlineLvl w:val="0"/>
      </w:pPr>
      <w:r>
        <w:t>General Interest</w:t>
      </w:r>
    </w:p>
    <w:p w:rsidR="004F1E0C" w:rsidRPr="00341DF6" w:rsidRDefault="004F1E0C"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Goldberg, M.H., Marlon, J.R., Wang, X., van der Linden, S., Leiserowitz, A., 2020. Oil and gas companies invest in legislators that vote against the environment. Proceedings of the National Academy of Sciences 117, 5111-5112.</w:t>
      </w:r>
    </w:p>
    <w:p w:rsidR="00F407FD" w:rsidRPr="00341DF6" w:rsidRDefault="00F407FD"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Ninković, D.B., Blagojević Filipović, J.P., Hall, M.B., Brothers, E.N., Zarić, S.D., 2020. What is special about aromatic–aromatic interactions? Significant attraction at large horizontal displacement. ACS Central Science 6, 420-425.</w:t>
      </w:r>
    </w:p>
    <w:p w:rsidR="00F407FD" w:rsidRPr="00341DF6" w:rsidRDefault="00F407FD"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Parrilla-Gutierrez, J.M., Sharma, A., Tsuda, S., Cooper, G.J.T., Aragon-Camarasa, G., Donkers, K., Cronin, L., 2020. A programmable chemical computer with memory and pattern recognition. Nature Communications 11, 1442.</w:t>
      </w:r>
    </w:p>
    <w:p w:rsidR="00F407FD" w:rsidRPr="00341DF6" w:rsidRDefault="00F407FD"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Roberts, R., Flin, R., 2020. Unlocking the potential: Understanding the psychological factors that influence technology adoption in the upstream oil and gas industry. SPE-199344-PA 25, 515-528.</w:t>
      </w:r>
    </w:p>
    <w:p w:rsidR="001A3A58" w:rsidRPr="00AE0525" w:rsidRDefault="001A3A58" w:rsidP="008741AD">
      <w:pPr>
        <w:spacing w:before="0" w:after="240"/>
        <w:ind w:left="720" w:hanging="720"/>
      </w:pPr>
    </w:p>
    <w:p w:rsidR="001A3A58" w:rsidRDefault="001A3A58" w:rsidP="008741AD">
      <w:pPr>
        <w:pStyle w:val="H2"/>
        <w:spacing w:before="0" w:after="240"/>
        <w:ind w:left="720" w:hanging="720"/>
        <w:outlineLvl w:val="0"/>
      </w:pPr>
      <w:r>
        <w:t>Geology</w:t>
      </w:r>
    </w:p>
    <w:p w:rsidR="0032333B" w:rsidRPr="00341DF6" w:rsidRDefault="0032333B"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Bellanova, P., Frenken, M., Richmond, B., Schwarzbauer, J., La Selle, S., Griswold, F., Jaffe, B., Nelson, A., Reicherter, K., 2020. Organic geochemical investigation of far-field tsunami deposits of the Kahana Valley, O‘ahu, Hawai‘i. Sedimentology 67, 1230-1248.</w:t>
      </w:r>
    </w:p>
    <w:p w:rsidR="00DF0DA9" w:rsidRPr="00341DF6" w:rsidRDefault="00DF0DA9"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 xml:space="preserve">Hu, Y., Armstrong, R.T., Shikhov, I., Hung, T.T., Lee, B., Mostaghimi, P.,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Unsteady-state coreflooding monitored by positron emission tomography and X-ray computed tomography. SPE-199344-PA 25, 242-252.</w:t>
      </w:r>
    </w:p>
    <w:p w:rsidR="00DF0DA9" w:rsidRPr="00341DF6" w:rsidRDefault="00DF0DA9"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lastRenderedPageBreak/>
        <w:t>Ikeda, M., Tada, R., 2020. Reconstruction of the chaotic behavior of the Solar System from geologic records. Earth and Planetary Science Letters 537, 116168.</w:t>
      </w:r>
    </w:p>
    <w:p w:rsidR="00672046" w:rsidRPr="00341DF6" w:rsidRDefault="00672046"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Klunder, L., de Stigter, H., Lavaleye, M.S.S., van Bleijswijk, J.D.L., van der Veer, H.W., Reichart, G.-J., Duineveld, G.C.A., 2020. A molecular approach to explore the background benthic fauna around a hydrothermal vent and their larvae: Implications for future mining of deep-sea SMS deposits. Frontiers in Marine Science 7, 134. doi: 110.3389/fmars.2020.00134.</w:t>
      </w:r>
    </w:p>
    <w:p w:rsidR="0064405D" w:rsidRPr="00341DF6" w:rsidRDefault="0064405D"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 xml:space="preserve">Liu, D., Xu, Y., Yu, Q., Yu, N., Qiu, X., Wang, H., Papineau, D.,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Catalytic effect of microbially-derived carboxylic acids on the precipitation of Mg-calcite and disordered dolomite: Implications for sedimentary dolomite formation. Journal of Asian Earth Sciences 193, 104301.</w:t>
      </w:r>
    </w:p>
    <w:p w:rsidR="00F15A92" w:rsidRPr="00341DF6" w:rsidRDefault="00F15A92"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Mahanta, B., Vishal, V., Ranjith, P.G., Singh, T.N., 2020. An insight into pore-network models of high-temperature heat-treated sandstones using computed tomography. Journal of Natural Gas Science and Engineering 77, 103227.</w:t>
      </w:r>
    </w:p>
    <w:p w:rsidR="0049088E" w:rsidRPr="00341DF6" w:rsidRDefault="0049088E"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Milesi, V.P., Debure, M., Marty, N.C.M., Capano, M., Jézéquel, D., Steefel, C., Rouchon, V., Albéric, P., Bard, E., Sarazin, G., Guyot, F., Virgone, A., Gaucher, É.C., Ader, M., 2020. Early diagenesis of lacustrine carbonates in volcanic settings: The role of magmatic CO</w:t>
      </w:r>
      <w:r w:rsidRPr="00341DF6">
        <w:rPr>
          <w:rFonts w:ascii="Times New Roman" w:hAnsi="Times New Roman" w:cs="Times New Roman"/>
          <w:sz w:val="24"/>
          <w:szCs w:val="24"/>
          <w:vertAlign w:val="subscript"/>
        </w:rPr>
        <w:t>2</w:t>
      </w:r>
      <w:r w:rsidRPr="00341DF6">
        <w:rPr>
          <w:rFonts w:ascii="Times New Roman" w:hAnsi="Times New Roman" w:cs="Times New Roman"/>
          <w:sz w:val="24"/>
          <w:szCs w:val="24"/>
        </w:rPr>
        <w:t xml:space="preserve"> (Lake Dziani Dzaha, Mayotte, Indian Ocean). ACS Earth and Space Chemistry 4, 363-378.</w:t>
      </w:r>
    </w:p>
    <w:p w:rsidR="00123F4A" w:rsidRPr="00341DF6" w:rsidRDefault="00123F4A"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Stüeken, E.E., Tino, C., Arp, G., Jung, D., Lyons, T.W., 2020. Nitrogen isotope ratios trace high-pH conditions in a terrestrial Mars analog site. Science Advances 6, eaay3440.</w:t>
      </w:r>
    </w:p>
    <w:p w:rsidR="00123F4A" w:rsidRPr="00341DF6" w:rsidRDefault="00123F4A"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Sun, V.Z., Milliken, R.E., 2020. Characterizing the mineral assemblages of hot spring environments and applications to Mars orbital data. Astrobiology 20, 453-474.</w:t>
      </w:r>
    </w:p>
    <w:p w:rsidR="00911845" w:rsidRPr="00341DF6" w:rsidRDefault="00911845"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 xml:space="preserve">Yu, Q., Xiong, Z., Du, C., Dai, Z., Soltanian, M.R., Soltanian, M., Yin, S., Liu, W., Liu, C., Wang, C., Song, Z.,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Identification of rock pore structures and permeabilities using electron microscopy experiments and deep learning interpretations. Fuel 268, 117416.</w:t>
      </w:r>
    </w:p>
    <w:p w:rsidR="00911845" w:rsidRPr="00341DF6" w:rsidRDefault="00911845"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Zgonnik, V., 2020. The occurrence and geoscience of natural hydrogen: A comprehensive review. Earth-Science Reviews 203, 103140.</w:t>
      </w:r>
    </w:p>
    <w:p w:rsidR="00C90188" w:rsidRPr="00341DF6" w:rsidRDefault="00C90188" w:rsidP="004872E2">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 xml:space="preserve">Zhai, H., Xue, Z., Park, H., Aizawa, Y., Baba, Y., Zhang, Y.,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Migration characteristics of supercritical CO</w:t>
      </w:r>
      <w:r w:rsidRPr="00341DF6">
        <w:rPr>
          <w:rFonts w:ascii="Times New Roman" w:hAnsi="Times New Roman" w:cs="Times New Roman"/>
          <w:sz w:val="24"/>
          <w:szCs w:val="24"/>
          <w:vertAlign w:val="subscript"/>
        </w:rPr>
        <w:t>2</w:t>
      </w:r>
      <w:r w:rsidRPr="00341DF6">
        <w:rPr>
          <w:rFonts w:ascii="Times New Roman" w:hAnsi="Times New Roman" w:cs="Times New Roman"/>
          <w:sz w:val="24"/>
          <w:szCs w:val="24"/>
        </w:rPr>
        <w:t xml:space="preserve"> microbubble flow in the Berea sandstone revealed by voxel-based X-ray computed tomography imaging analysis. Journal of Natural Gas Science and Engineering 77, 103233.</w:t>
      </w:r>
    </w:p>
    <w:p w:rsidR="00EE5371" w:rsidRDefault="00EE5371" w:rsidP="004872E2">
      <w:pPr>
        <w:pStyle w:val="EndNoteBibliography"/>
        <w:spacing w:after="120"/>
        <w:ind w:left="360" w:hanging="360"/>
        <w:rPr>
          <w:rFonts w:ascii="Times New Roman" w:hAnsi="Times New Roman" w:cs="Times New Roman"/>
          <w:sz w:val="24"/>
          <w:szCs w:val="24"/>
        </w:rPr>
      </w:pPr>
    </w:p>
    <w:p w:rsidR="00BB53BD" w:rsidRDefault="00BB53BD" w:rsidP="00BB53BD">
      <w:pPr>
        <w:pStyle w:val="H3"/>
        <w:spacing w:before="0" w:after="240"/>
        <w:ind w:hanging="360"/>
      </w:pPr>
      <w:r>
        <w:t>Abiotic hydrogen and hydrocarbons in Plantary Lithospheres, Element 16, 2020</w:t>
      </w:r>
    </w:p>
    <w:p w:rsidR="0032333B" w:rsidRPr="00341DF6" w:rsidRDefault="0032333B"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Eiler, J.M., 2020. The once and future hydrogen economy. Elements 16, 3-3.</w:t>
      </w:r>
    </w:p>
    <w:p w:rsidR="0032333B" w:rsidRPr="00341DF6" w:rsidRDefault="0032333B"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Gaucher, E.C., 2020. New perspectives in the industrial exploration for native hydrogen. Elements 16, 8-9.</w:t>
      </w:r>
    </w:p>
    <w:p w:rsidR="0032333B" w:rsidRPr="00341DF6" w:rsidRDefault="0032333B"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Truche, L., McCollom, T.M., Martinez, I., 2020. Hydrogen and abiotic hydrocarbons: Molecules that change the world. Elements 16, 13-18.</w:t>
      </w:r>
    </w:p>
    <w:p w:rsidR="0032333B" w:rsidRPr="00341DF6" w:rsidRDefault="0032333B"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lastRenderedPageBreak/>
        <w:t>Klein, F., Tarnas, J.D., Bach, W., 2020. Abiotic sources of molecular hydrogen on Earth. Elements 16, 19-24.</w:t>
      </w:r>
    </w:p>
    <w:p w:rsidR="0032333B" w:rsidRPr="0032333B" w:rsidRDefault="0032333B" w:rsidP="00DB42FE">
      <w:pPr>
        <w:pStyle w:val="EndNoteBibliography"/>
        <w:spacing w:after="120"/>
        <w:ind w:left="720" w:hanging="360"/>
        <w:rPr>
          <w:rFonts w:ascii="Times New Roman" w:hAnsi="Times New Roman" w:cs="Times New Roman"/>
          <w:sz w:val="24"/>
          <w:szCs w:val="24"/>
        </w:rPr>
      </w:pPr>
      <w:r w:rsidRPr="0032333B">
        <w:rPr>
          <w:rFonts w:ascii="Times New Roman" w:hAnsi="Times New Roman" w:cs="Times New Roman"/>
          <w:sz w:val="24"/>
          <w:szCs w:val="24"/>
        </w:rPr>
        <w:t>Reeves, E.P., Fiebig, J., 2020. Abiotic synthesis of methane and organic compounds in Earth’s lithosphere. Elements 16, 25-31.</w:t>
      </w:r>
    </w:p>
    <w:p w:rsidR="00BB53BD" w:rsidRPr="00341DF6" w:rsidRDefault="00BB53B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Bazarkina, E.F., Chou, I.M., Goncharov, A.F., Akinfiev, N.N., 2020. The behavior of H</w:t>
      </w:r>
      <w:r w:rsidRPr="00341DF6">
        <w:rPr>
          <w:rFonts w:ascii="Times New Roman" w:hAnsi="Times New Roman" w:cs="Times New Roman"/>
          <w:sz w:val="24"/>
          <w:szCs w:val="24"/>
          <w:vertAlign w:val="subscript"/>
        </w:rPr>
        <w:t>2</w:t>
      </w:r>
      <w:r w:rsidRPr="00341DF6">
        <w:rPr>
          <w:rFonts w:ascii="Times New Roman" w:hAnsi="Times New Roman" w:cs="Times New Roman"/>
          <w:sz w:val="24"/>
          <w:szCs w:val="24"/>
        </w:rPr>
        <w:t xml:space="preserve"> in aqueous fluids under high temperature and pressure. Elements 16, 33-38.</w:t>
      </w:r>
    </w:p>
    <w:p w:rsidR="0032333B" w:rsidRPr="00341DF6" w:rsidRDefault="0032333B"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Ménez, B., 2020. Abiotic hydrogen and methane: Fuels for life. Elements 16, 39-46.</w:t>
      </w:r>
    </w:p>
    <w:p w:rsidR="0032333B" w:rsidRPr="00341DF6" w:rsidRDefault="0032333B"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Glein, C.R., Zolotov, M.Y., 2020. Hydrogen, hydrocarbons, and habitability across the solar system. Elements 16, 47-52.</w:t>
      </w:r>
    </w:p>
    <w:p w:rsidR="00BB53BD" w:rsidRDefault="00BB53BD" w:rsidP="00DB42FE">
      <w:pPr>
        <w:pStyle w:val="EndNoteBibliography"/>
        <w:spacing w:after="120"/>
        <w:ind w:left="720" w:hanging="360"/>
        <w:rPr>
          <w:rFonts w:ascii="Times New Roman" w:hAnsi="Times New Roman" w:cs="Times New Roman"/>
          <w:sz w:val="24"/>
          <w:szCs w:val="24"/>
        </w:rPr>
      </w:pPr>
    </w:p>
    <w:p w:rsidR="001A3A58" w:rsidRDefault="001A3A58" w:rsidP="00BB7DDA">
      <w:pPr>
        <w:pStyle w:val="H3"/>
        <w:spacing w:before="0" w:after="240"/>
        <w:ind w:hanging="360"/>
      </w:pPr>
      <w:r>
        <w:t>Bolide Impacts/Crater Geochemistry</w:t>
      </w:r>
    </w:p>
    <w:p w:rsidR="00672046" w:rsidRPr="00341DF6" w:rsidRDefault="00672046"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Klokočník, J., Kostelecký, J., Bezděk, A., Cílek, V., Kletetschka, G., Staňková, H., 2020. Support for two subglacial impact craters in northwest Greenland from Earth gravity model EIGEN 6C4 and other data. Tectonophysics 780, 228396.</w:t>
      </w:r>
    </w:p>
    <w:p w:rsidR="0049088E" w:rsidRPr="00341DF6" w:rsidRDefault="0049088E"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Moore, A.M.T., Kennett, J.P., Napier, W.M., Bunch, T.E., Weaver, J.C., LeCompte, M., Adedeji, A.V., Hackley, P., Kletetschka, G., Hermes, R.E., Wittke, J.H., Razink, J.J., Gaultois, M.W., West, A., 2020. Evidence of cosmic impact at Abu Hureyra, Syria at the Younger Dryas onset (~12.8 ka): High-temperature melting at &gt;2200 °C. Scientific Reports 10, 4185.</w:t>
      </w:r>
    </w:p>
    <w:p w:rsidR="001A3A58" w:rsidRPr="00AE0525" w:rsidRDefault="001A3A58" w:rsidP="008741AD">
      <w:pPr>
        <w:spacing w:before="0" w:after="240"/>
        <w:ind w:left="720" w:hanging="720"/>
      </w:pPr>
    </w:p>
    <w:p w:rsidR="00F33358" w:rsidRDefault="00F33358" w:rsidP="00F33358">
      <w:pPr>
        <w:pStyle w:val="H2"/>
        <w:spacing w:before="0" w:after="240"/>
        <w:ind w:left="720" w:hanging="720"/>
        <w:outlineLvl w:val="0"/>
      </w:pPr>
      <w:r>
        <w:t>Hydrates</w:t>
      </w:r>
    </w:p>
    <w:p w:rsidR="00605AC8" w:rsidRPr="00341DF6" w:rsidRDefault="00605AC8"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Hou, X., Guo, B., 2020. Technical feasibility of using frac-packed wells for producing natural gas from offshore gas hydrate reservoirs. Journal of Petroleum &amp; Environmental Biotechnology 11, 400.</w:t>
      </w:r>
    </w:p>
    <w:p w:rsidR="00605AC8" w:rsidRPr="00341DF6" w:rsidRDefault="00605AC8"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Ji, Y., Hou, J., Zhao, E., Lu, N., Bai, Y., Zhou, K., Liu, Y., 2020. Study on the effects of heterogeneous distribution of methane hydrate on permeability of porous media using low-field NMR technique. Journal of Geophysical Research: Solid Earth 125, e2019JB018572.</w:t>
      </w:r>
    </w:p>
    <w:p w:rsidR="00605AC8" w:rsidRPr="00341DF6" w:rsidRDefault="00605AC8"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Jin, J., Wang, X., Guo, Y., Li, J., Li, Y., Zhang, X., Qian, J., Sun, L., 2020. Geological controls on the occurrence of recently formed highly concentrated gas hydrate accumulations in the Shenhu area, South China Sea. Marine and Petroleum Geology 116, 104294.</w:t>
      </w:r>
    </w:p>
    <w:p w:rsidR="00605AC8" w:rsidRPr="00341DF6" w:rsidRDefault="00605AC8"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Kannberg, P.K., Constable, S., 2020. Characterization and quantification of gas hydrates in the California Borderlands. Geophysical Research Letters 47, e2019GL084703.</w:t>
      </w:r>
    </w:p>
    <w:p w:rsidR="00605AC8" w:rsidRPr="00341DF6" w:rsidRDefault="00605AC8"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Kim, J.-H., Hachikubo, A., Kida, M., Minami, H., Lee, D.-H., Jin, Y.K., Ryu, J.-S., Lee, Y.M., Hur, J., Park, M.-H., Kim, Y.-G., Kang, M.-H., Park, S., Chen, M., Kang, S.-G., Kim, S., 2020. Upwarding gas source and postgenetic processes in the shallow sediments from the ARAON Mounds, Chukchi Sea. Journal of Natural Gas Science and Engineering 76, 103223.</w:t>
      </w:r>
    </w:p>
    <w:p w:rsidR="00605AC8" w:rsidRPr="00341DF6" w:rsidRDefault="00605AC8"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lastRenderedPageBreak/>
        <w:t>Koryakina, V.V., Ivanova, I.K., Semenov, M.E., 2020. Kinetics features of natural gas hydrates crystallisation and dissociation in water/crude oil and water/asphaltene-resin-paraffin deposit emulsions. International Journal of Oil, Gas and Coal Technology 23, 169-185.</w:t>
      </w:r>
    </w:p>
    <w:p w:rsidR="00605AC8" w:rsidRPr="00341DF6" w:rsidRDefault="00605AC8"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 xml:space="preserve">Lau, H.C., Zhang, M., Wang, J., Pan, L.,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Some technical considerations of gas-hydrate development from Chinese permafrost regions. SPE-197069-PA 23, 369-387.</w:t>
      </w:r>
    </w:p>
    <w:p w:rsidR="00605AC8" w:rsidRPr="00341DF6" w:rsidRDefault="00605AC8"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Lei, L., Seol, Y., 2020. Pore-scale investigation of methane hydrate-bearing sediments under triaxial condition. Geophysical Research Letters 47, e2019GL086448.</w:t>
      </w:r>
    </w:p>
    <w:p w:rsidR="00605AC8" w:rsidRPr="00341DF6" w:rsidRDefault="00605AC8"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 xml:space="preserve">Liu, S., Tan, F., Huo, T., Tang, S., Zhao, W., Chao, H.,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Origin of the hydrate bound gases in the Juhugeng Sag, Muli Basin, Tibetan Plateau. International Journal of Coal Science &amp; Technology 7, 43-57.</w:t>
      </w:r>
    </w:p>
    <w:p w:rsidR="00605AC8" w:rsidRPr="00341DF6" w:rsidRDefault="00605AC8"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Peketi, A., Mazumdar, A., Pillutla, S.P.K., Patil, D.J., 2020. Influence of dual sulfate reduction pathways on pore-fluid chemistry and occurrences of methane hydrate in sediment cores (IODP-353) off Mahanadi basin, Bay of Bengal. Geochemical Journal 54, 1-11.</w:t>
      </w:r>
    </w:p>
    <w:p w:rsidR="00605AC8" w:rsidRPr="00341DF6" w:rsidRDefault="00605AC8"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Shen, P., Li, G., Li, B., Li, X., 2020. Coupling effect of porosity and hydrate saturation on the permeability of methane hydrate-bearing sediments. Fuel 269, 117425.</w:t>
      </w:r>
    </w:p>
    <w:p w:rsidR="00605AC8" w:rsidRPr="00341DF6" w:rsidRDefault="00605AC8"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Singhroha, S., Bünz, S., Plaza-Faverola, A., Chand, S., 2020. Detection of gas hydrates in faults using azimuthal seismic velocity analysis, Vestnesa Ridge, W-Svalbard Margin. Journal of Geophysical Research: Solid Earth 125, e2019JB017949.</w:t>
      </w:r>
    </w:p>
    <w:p w:rsidR="00605AC8" w:rsidRPr="00341DF6" w:rsidRDefault="00605AC8"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Treude, T., Krause, S., Steinle, L., Burwicz, E., Hamdan, L.J., Niemann, H., Feseker, T., Liebetrau, V., Krastel, S., Berndt, C., 2020. Biogeochemical consequences of nonvertical methane transport in sediment offshore northwestern Svalbard. Journal of Geophysical Research: Biogeosciences 125, e2019JG005371.</w:t>
      </w:r>
    </w:p>
    <w:p w:rsidR="00605AC8" w:rsidRPr="00341DF6" w:rsidRDefault="00605AC8"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Wu, C.-Y., Hsieh, B.-Z., 2020. Comparisons of different simulated hydrate designs for Class-1 gas hydrate deposits. Journal of Natural Gas Science and Engineering 77, 103225.</w:t>
      </w:r>
    </w:p>
    <w:p w:rsidR="00605AC8" w:rsidRPr="00341DF6" w:rsidRDefault="00605AC8"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 xml:space="preserve">Wu, Y., Hyodo, M., Cui, J.,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On the critical state characteristics of methane hydrate-bearing sediments. Marine and Petroleum Geology 116, 104342.</w:t>
      </w:r>
    </w:p>
    <w:p w:rsidR="00605AC8" w:rsidRPr="00341DF6" w:rsidRDefault="00605AC8"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 xml:space="preserve">Zhu, H., Xu, T., Yuan, Y., Feng, G., Xia, Y., Xin, X.,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Numerical analysis of sand production during natural gas extraction from unconsolidated hydrate-bearing sediments. Journal of Natural Gas Science and Engineering 76, 103229.</w:t>
      </w:r>
    </w:p>
    <w:p w:rsidR="00F33358" w:rsidRPr="00AE0525" w:rsidRDefault="00F33358" w:rsidP="00F33358">
      <w:pPr>
        <w:spacing w:before="0" w:after="240"/>
        <w:ind w:left="720" w:hanging="720"/>
      </w:pPr>
    </w:p>
    <w:p w:rsidR="00D07442" w:rsidRDefault="00D07442" w:rsidP="00D07442">
      <w:pPr>
        <w:pStyle w:val="H2"/>
        <w:spacing w:before="0" w:after="240"/>
        <w:ind w:left="720" w:hanging="720"/>
        <w:outlineLvl w:val="0"/>
      </w:pPr>
      <w:r>
        <w:t>Isotope Geochemistry</w:t>
      </w:r>
    </w:p>
    <w:p w:rsidR="0032333B" w:rsidRPr="00341DF6" w:rsidRDefault="0032333B"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Beaupré, S.R., Walker, B.D., Druffel, E.R.M., 2020. The two-component model coincidence: Evaluating the validity of marine dissolved organic radiocarbon as a stable-conservative tracer at Station M. Deep Sea Research Part II: Topical Studies in Oceanography 173, 104737.</w:t>
      </w:r>
    </w:p>
    <w:p w:rsidR="002B0AA5" w:rsidRPr="00341DF6" w:rsidRDefault="002B0AA5"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Bermingham, K.R., 2020. Ancient rock bears isotopic fingerprints of Earth’s origins. Nature 579, 195-196.</w:t>
      </w:r>
    </w:p>
    <w:p w:rsidR="00F55A9D" w:rsidRPr="00341DF6" w:rsidRDefault="00F55A9D"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 xml:space="preserve">Bourgon, N., Jaouen, K., Bacon, A.-M., Jochum, K.P., Dufour, E., Duringer, P., Ponche, J.-L., Joannes-Boyau, R., Boesch, Q., Antoine, P.-O., Hullot, M., Weis, U., Schulz-Kornas, E., </w:t>
      </w:r>
      <w:r w:rsidRPr="00341DF6">
        <w:rPr>
          <w:rFonts w:ascii="Times New Roman" w:hAnsi="Times New Roman" w:cs="Times New Roman"/>
          <w:sz w:val="24"/>
          <w:szCs w:val="24"/>
        </w:rPr>
        <w:lastRenderedPageBreak/>
        <w:t>Trost, M., Fiorillo, D., Demeter, F., Patole-Edoumba, E., Shackelford, L.L., Dunn, T.E., Zachwieja, A., Duangthongchit, S., Sayavonkhamdy, T., Sichanthongtip, P., Sihanam, D., Souksavatdy, V., Hublin, J.-J., Tütken, T., 2020. Zinc isotopes in Late Pleistocene fossil teeth from a Southeast Asian cave setting preserve paleodietary information. Proceedings of the National Academy of Sciences 117, 4675.</w:t>
      </w:r>
    </w:p>
    <w:p w:rsidR="006A33BC" w:rsidRPr="00341DF6" w:rsidRDefault="006A33BC"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Erhardt, A.M., Turchyn, A.V., Bradbury, H.J., Dickson, J.A.D., 2020. The calcium isotopic composition of carbonate hardground cements: A new record of changes in ocean chemistry? Chemical Geology 540, 119490.</w:t>
      </w:r>
    </w:p>
    <w:p w:rsidR="006A33BC" w:rsidRPr="00341DF6" w:rsidRDefault="006A33BC"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Garnett, M.H., Hardie, S.M.L., Murray, C., 2020. Radiocarbon analysis reveals that vegetation facilitates the release of old methane in a temperate raised bog. Biogeochemistry 148, 1-17.</w:t>
      </w:r>
    </w:p>
    <w:p w:rsidR="00DF0DA9" w:rsidRPr="00341DF6" w:rsidRDefault="00DF0DA9"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Hurtig, N.C., Georgiev, S.V., Zimmerman, A., Yang, G., Goswami, V., Hannah, J.L., Stein, H.J., 2020. Re-Os geochronology for the NIST RM 8505 crude oil: The importance of analytical protocol and uncertainty. Chemical Geology 539, 119381.</w:t>
      </w:r>
    </w:p>
    <w:p w:rsidR="00BE7B53" w:rsidRPr="00341DF6" w:rsidRDefault="00BE7B53"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 xml:space="preserve">Jiang, L., Wu, C., Li, M., Li, X., Li, J.,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Interpretation of kinetic isotope fractionation between aqueous Fe(II) and ferrihydrite under a high degree of microbial reduction. Biogeosciences Discuss</w:t>
      </w:r>
      <w:r w:rsidR="00FC13FC">
        <w:rPr>
          <w:rFonts w:ascii="Times New Roman" w:hAnsi="Times New Roman" w:cs="Times New Roman"/>
          <w:sz w:val="24"/>
          <w:szCs w:val="24"/>
        </w:rPr>
        <w:t>ions</w:t>
      </w:r>
      <w:r w:rsidRPr="00341DF6">
        <w:rPr>
          <w:rFonts w:ascii="Times New Roman" w:hAnsi="Times New Roman" w:cs="Times New Roman"/>
          <w:sz w:val="24"/>
          <w:szCs w:val="24"/>
        </w:rPr>
        <w:t xml:space="preserve"> 2020, 1-18.</w:t>
      </w:r>
    </w:p>
    <w:p w:rsidR="00672046" w:rsidRPr="00341DF6" w:rsidRDefault="00672046"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 xml:space="preserve">Julien, M., Goldman, M.J., Liu, C., Horita, J., Boreham, C.J., Yamada, K., Green, W.H., Yoshida, N., Gilbert, A., 2020. Intramolecular </w:t>
      </w:r>
      <w:r w:rsidRPr="00341DF6">
        <w:rPr>
          <w:rFonts w:ascii="Times New Roman" w:hAnsi="Times New Roman" w:cs="Times New Roman"/>
          <w:sz w:val="24"/>
          <w:szCs w:val="24"/>
          <w:vertAlign w:val="superscript"/>
        </w:rPr>
        <w:t>13</w:t>
      </w:r>
      <w:r w:rsidRPr="00341DF6">
        <w:rPr>
          <w:rFonts w:ascii="Times New Roman" w:hAnsi="Times New Roman" w:cs="Times New Roman"/>
          <w:sz w:val="24"/>
          <w:szCs w:val="24"/>
        </w:rPr>
        <w:t>C isotope distributions of butane from natural gases. Chemical Geology 541, 119571.</w:t>
      </w:r>
    </w:p>
    <w:p w:rsidR="00672046" w:rsidRPr="00341DF6" w:rsidRDefault="00672046"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Lécuyer, C., Fourel, F., Blamey, N., Brand, U., Fralick, P., 2020. δ</w:t>
      </w:r>
      <w:r w:rsidRPr="00341DF6">
        <w:rPr>
          <w:rFonts w:ascii="Times New Roman" w:hAnsi="Times New Roman" w:cs="Times New Roman"/>
          <w:sz w:val="24"/>
          <w:szCs w:val="24"/>
          <w:vertAlign w:val="superscript"/>
        </w:rPr>
        <w:t>2</w:t>
      </w:r>
      <w:r w:rsidRPr="00341DF6">
        <w:rPr>
          <w:rFonts w:ascii="Times New Roman" w:hAnsi="Times New Roman" w:cs="Times New Roman"/>
          <w:sz w:val="24"/>
          <w:szCs w:val="24"/>
        </w:rPr>
        <w:t>H of water from fluid inclusions in Proterozoic halite: Evidence for a deuterium-depleted hydrosphere? Chemical Geology 541, 119583.</w:t>
      </w:r>
    </w:p>
    <w:p w:rsidR="0064405D" w:rsidRPr="00341DF6" w:rsidRDefault="0064405D"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 xml:space="preserve">Liu, X., Li, A., Ma, Z., Dong, J., Zhang, K., Xu, F., Wang, H.,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 xml:space="preserve">Constraint of sedimentary processes on the sulfur isotope of authigenic pyrite. Acta Sedimentologica Sinica 38, 124-137 </w:t>
      </w:r>
    </w:p>
    <w:p w:rsidR="00F15A92" w:rsidRPr="00341DF6" w:rsidRDefault="00F15A92"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Manning, S.W., Kromer, B., Cremaschi, M., Dee, M.W., Friedrich, R., Griggs, C., Hadden, C.S., 2020. Mediterranean radiocarbon offsets and calendar dates for prehistory. Science Advances 6, eaaz1096.</w:t>
      </w:r>
    </w:p>
    <w:p w:rsidR="005D79ED" w:rsidRPr="00341DF6" w:rsidRDefault="005D79ED"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Schilling, K., Basu, A., Wanner, C., Sanford, R.A., Pallud, C., Johnson, T.M., Mason, P.R.D., 2020. Mass-dependent selenium isotopic fractionation during microbial reduction of seleno-oxyanions by phylogenetically diverse bacteria. Geochimica et Cosmochimica Acta 276, 274-288.</w:t>
      </w:r>
    </w:p>
    <w:p w:rsidR="00123F4A" w:rsidRPr="00341DF6" w:rsidRDefault="00123F4A"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Stüeken, E.E., Tino, C., Arp, G., Jung, D., Lyons, T.W., 2020. Nitrogen isotope ratios trace high-pH conditions in a terrestrial Mars analog site. Science Advances 6, eaay3440.</w:t>
      </w:r>
    </w:p>
    <w:p w:rsidR="00911845" w:rsidRPr="00341DF6" w:rsidRDefault="00911845"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Wei, W., Klaebe, R., Ling, H.-F., Huang, F., Frei, R., 2020. Biogeochemical cycle of chromium isotopes at the modern Earth's surface and its applications as a paleo-environment proxy. Chemical Geology 541, 119570.</w:t>
      </w:r>
    </w:p>
    <w:p w:rsidR="00C90188" w:rsidRPr="00341DF6" w:rsidRDefault="00C90188"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 xml:space="preserve">Zhou, S., Wu, J., Bi, X.,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Spatial characteristics of soil δ</w:t>
      </w:r>
      <w:r w:rsidRPr="00341DF6">
        <w:rPr>
          <w:rFonts w:ascii="Times New Roman" w:hAnsi="Times New Roman" w:cs="Times New Roman"/>
          <w:sz w:val="24"/>
          <w:szCs w:val="24"/>
          <w:vertAlign w:val="superscript"/>
        </w:rPr>
        <w:t>13</w:t>
      </w:r>
      <w:r w:rsidRPr="00341DF6">
        <w:rPr>
          <w:rFonts w:ascii="Times New Roman" w:hAnsi="Times New Roman" w:cs="Times New Roman"/>
          <w:sz w:val="24"/>
          <w:szCs w:val="24"/>
        </w:rPr>
        <w:t>C and δ</w:t>
      </w:r>
      <w:r w:rsidRPr="00341DF6">
        <w:rPr>
          <w:rFonts w:ascii="Times New Roman" w:hAnsi="Times New Roman" w:cs="Times New Roman"/>
          <w:sz w:val="24"/>
          <w:szCs w:val="24"/>
          <w:vertAlign w:val="superscript"/>
        </w:rPr>
        <w:t>15</w:t>
      </w:r>
      <w:r w:rsidRPr="00341DF6">
        <w:rPr>
          <w:rFonts w:ascii="Times New Roman" w:hAnsi="Times New Roman" w:cs="Times New Roman"/>
          <w:sz w:val="24"/>
          <w:szCs w:val="24"/>
        </w:rPr>
        <w:t>N reveal shrub-induced successional process in a coastal wetland. Estuarine, Coastal and Shelf Science 236, 106621.</w:t>
      </w:r>
    </w:p>
    <w:p w:rsidR="00D07442" w:rsidRDefault="00D07442" w:rsidP="009A1C1B">
      <w:pPr>
        <w:widowControl/>
        <w:spacing w:before="0" w:after="120"/>
        <w:ind w:left="360" w:hanging="360"/>
        <w:rPr>
          <w:noProof/>
        </w:rPr>
      </w:pPr>
    </w:p>
    <w:p w:rsidR="00D07442" w:rsidRDefault="00D07442" w:rsidP="005765D4">
      <w:pPr>
        <w:pStyle w:val="H3"/>
        <w:spacing w:before="0" w:after="240"/>
        <w:ind w:hanging="360"/>
      </w:pPr>
      <w:r>
        <w:lastRenderedPageBreak/>
        <w:t>Clumped Isotopes</w:t>
      </w:r>
    </w:p>
    <w:p w:rsidR="00605AC8" w:rsidRPr="00341DF6" w:rsidRDefault="00605AC8"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Dietzel, M., Purgstaller, B., Kluge, T., Leis, A., Mavromatis, V., 2020. Oxygen and clumped isotope fractionation during the formation of Mg calcite via an amorphous precursor. Geochimica et Cosmochimica Acta 276, 258-273.</w:t>
      </w:r>
    </w:p>
    <w:p w:rsidR="00605AC8" w:rsidRPr="00341DF6" w:rsidRDefault="00605AC8"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Douglas, P.M.J., Gonzalez Moguel, R., Walter Anthony, K.M., Wik, M., Crill, P.M., Dawson, K.S., Smith, D.A., Yanay, E., Lloyd, M.K., Stolper, D.A., Eiler, J.M., Sessions, A.L., 2020. Clumped isotopes link older carbon substrates with slower rates of methanogenesis in northern lakes. Geophysical Research Letters 47, e2019GL086756.</w:t>
      </w:r>
    </w:p>
    <w:p w:rsidR="00605AC8" w:rsidRPr="00341DF6" w:rsidRDefault="00605AC8"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Julien, M., Goldman, M.J., Liu, C., Horita, J., Boreham, C.J., Yamada, K., Green, W.H., Yoshida, N., Gilbert, A., 2020. Intramolecular </w:t>
      </w:r>
      <w:r w:rsidRPr="00341DF6">
        <w:rPr>
          <w:rFonts w:ascii="Times New Roman" w:hAnsi="Times New Roman" w:cs="Times New Roman"/>
          <w:sz w:val="24"/>
          <w:szCs w:val="24"/>
          <w:vertAlign w:val="superscript"/>
        </w:rPr>
        <w:t>13</w:t>
      </w:r>
      <w:r w:rsidRPr="00341DF6">
        <w:rPr>
          <w:rFonts w:ascii="Times New Roman" w:hAnsi="Times New Roman" w:cs="Times New Roman"/>
          <w:sz w:val="24"/>
          <w:szCs w:val="24"/>
        </w:rPr>
        <w:t>C isotope distributions of butane from natural gases. Chemical Geology 541, 119571.</w:t>
      </w:r>
    </w:p>
    <w:p w:rsidR="00605AC8" w:rsidRPr="00341DF6" w:rsidRDefault="00605AC8"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Thiagarajan, N., Kitchen, N., Xie, H., Ponton, C., Lawson, M., Formolo, M., Eiler, J., 2020. Identifying thermogenic and microbial methane in deep water Gulf of Mexico reservoirs. Geochimica et Cosmochimica Acta 275, 188-208.</w:t>
      </w:r>
    </w:p>
    <w:p w:rsidR="00605AC8" w:rsidRPr="00341DF6" w:rsidRDefault="00605AC8"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Zhang, S., Liu, Q., Tang, M., Liu, Y.,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 xml:space="preserve">Molecular-level mechanism of phosphoric acid digestion of carbonates and recalibration of the </w:t>
      </w:r>
      <w:r w:rsidRPr="00341DF6">
        <w:rPr>
          <w:rFonts w:ascii="Times New Roman" w:hAnsi="Times New Roman" w:cs="Times New Roman"/>
          <w:sz w:val="24"/>
          <w:szCs w:val="24"/>
          <w:vertAlign w:val="superscript"/>
        </w:rPr>
        <w:t>13</w:t>
      </w:r>
      <w:r w:rsidRPr="00341DF6">
        <w:rPr>
          <w:rFonts w:ascii="Times New Roman" w:hAnsi="Times New Roman" w:cs="Times New Roman"/>
          <w:sz w:val="24"/>
          <w:szCs w:val="24"/>
        </w:rPr>
        <w:t>C–</w:t>
      </w:r>
      <w:r w:rsidRPr="00341DF6">
        <w:rPr>
          <w:rFonts w:ascii="Times New Roman" w:hAnsi="Times New Roman" w:cs="Times New Roman"/>
          <w:sz w:val="24"/>
          <w:szCs w:val="24"/>
          <w:vertAlign w:val="superscript"/>
        </w:rPr>
        <w:t>18</w:t>
      </w:r>
      <w:r w:rsidRPr="00341DF6">
        <w:rPr>
          <w:rFonts w:ascii="Times New Roman" w:hAnsi="Times New Roman" w:cs="Times New Roman"/>
          <w:sz w:val="24"/>
          <w:szCs w:val="24"/>
        </w:rPr>
        <w:t>O clumped isotope thermometer. ACS Earth and Space Chemistry 4, 420-433.</w:t>
      </w:r>
    </w:p>
    <w:p w:rsidR="00D07442" w:rsidRDefault="00D07442" w:rsidP="005765D4">
      <w:pPr>
        <w:spacing w:before="0" w:after="240"/>
        <w:ind w:left="720" w:hanging="360"/>
      </w:pPr>
    </w:p>
    <w:p w:rsidR="00D07442" w:rsidRDefault="00D07442" w:rsidP="005765D4">
      <w:pPr>
        <w:pStyle w:val="H3"/>
        <w:spacing w:before="0" w:after="240"/>
        <w:ind w:hanging="360"/>
      </w:pPr>
      <w:r>
        <w:t>Methods/Instrumentation</w:t>
      </w:r>
    </w:p>
    <w:p w:rsidR="005C5B53" w:rsidRPr="00341DF6" w:rsidRDefault="005C5B53"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Cui, X., Chen, W., Sigrist, M.W., Fertein, E., Flament, P., De Bondt, K., Mattielli, N., 2020. Analysis of the stable isotope ratios (</w:t>
      </w:r>
      <w:r w:rsidRPr="00341DF6">
        <w:rPr>
          <w:rFonts w:ascii="Times New Roman" w:hAnsi="Times New Roman" w:cs="Times New Roman"/>
          <w:sz w:val="24"/>
          <w:szCs w:val="24"/>
          <w:vertAlign w:val="superscript"/>
        </w:rPr>
        <w:t>18</w:t>
      </w:r>
      <w:r w:rsidRPr="00341DF6">
        <w:rPr>
          <w:rFonts w:ascii="Times New Roman" w:hAnsi="Times New Roman" w:cs="Times New Roman"/>
          <w:sz w:val="24"/>
          <w:szCs w:val="24"/>
        </w:rPr>
        <w:t>O/</w:t>
      </w:r>
      <w:r w:rsidRPr="00341DF6">
        <w:rPr>
          <w:rFonts w:ascii="Times New Roman" w:hAnsi="Times New Roman" w:cs="Times New Roman"/>
          <w:sz w:val="24"/>
          <w:szCs w:val="24"/>
          <w:vertAlign w:val="superscript"/>
        </w:rPr>
        <w:t>16</w:t>
      </w:r>
      <w:r w:rsidRPr="00341DF6">
        <w:rPr>
          <w:rFonts w:ascii="Times New Roman" w:hAnsi="Times New Roman" w:cs="Times New Roman"/>
          <w:sz w:val="24"/>
          <w:szCs w:val="24"/>
        </w:rPr>
        <w:t xml:space="preserve">O, </w:t>
      </w:r>
      <w:r w:rsidRPr="00341DF6">
        <w:rPr>
          <w:rFonts w:ascii="Times New Roman" w:hAnsi="Times New Roman" w:cs="Times New Roman"/>
          <w:sz w:val="24"/>
          <w:szCs w:val="24"/>
          <w:vertAlign w:val="superscript"/>
        </w:rPr>
        <w:t>17</w:t>
      </w:r>
      <w:r w:rsidRPr="00341DF6">
        <w:rPr>
          <w:rFonts w:ascii="Times New Roman" w:hAnsi="Times New Roman" w:cs="Times New Roman"/>
          <w:sz w:val="24"/>
          <w:szCs w:val="24"/>
        </w:rPr>
        <w:t>O/</w:t>
      </w:r>
      <w:r w:rsidRPr="00341DF6">
        <w:rPr>
          <w:rFonts w:ascii="Times New Roman" w:hAnsi="Times New Roman" w:cs="Times New Roman"/>
          <w:sz w:val="24"/>
          <w:szCs w:val="24"/>
          <w:vertAlign w:val="superscript"/>
        </w:rPr>
        <w:t>16</w:t>
      </w:r>
      <w:r w:rsidRPr="00341DF6">
        <w:rPr>
          <w:rFonts w:ascii="Times New Roman" w:hAnsi="Times New Roman" w:cs="Times New Roman"/>
          <w:sz w:val="24"/>
          <w:szCs w:val="24"/>
        </w:rPr>
        <w:t>O, and D/H) in glacier water by laser spectrometry. Analytical Chemistry 92, 4512-4517.</w:t>
      </w:r>
    </w:p>
    <w:p w:rsidR="006A33BC" w:rsidRPr="00341DF6" w:rsidRDefault="006A33BC"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Du, Y., Song, H., 2020. Refined protocol for δ</w:t>
      </w:r>
      <w:r w:rsidRPr="00341DF6">
        <w:rPr>
          <w:rFonts w:ascii="Times New Roman" w:hAnsi="Times New Roman" w:cs="Times New Roman"/>
          <w:sz w:val="24"/>
          <w:szCs w:val="24"/>
          <w:vertAlign w:val="superscript"/>
        </w:rPr>
        <w:t>13</w:t>
      </w:r>
      <w:r w:rsidRPr="00341DF6">
        <w:rPr>
          <w:rFonts w:ascii="Times New Roman" w:hAnsi="Times New Roman" w:cs="Times New Roman"/>
          <w:sz w:val="24"/>
          <w:szCs w:val="24"/>
        </w:rPr>
        <w:t>C analysis of calcite and dolomite in carbonate mixture samples. Rapid Communications in Mass Spectrometry 34, e8743.</w:t>
      </w:r>
    </w:p>
    <w:p w:rsidR="004F1E0C" w:rsidRPr="00341DF6" w:rsidRDefault="004F1E0C"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Haig, J., Ascough, P.L., Wurster, C.M., Bird, M.I., 2020. A rapid throughput technique to isolate pyrogenic carbon by hydrogen pyrolysis for stable isotope and radiocarbon analysis. Rapid Communications in Mass Spectrometry 34, e8737.</w:t>
      </w:r>
    </w:p>
    <w:p w:rsidR="003316B7" w:rsidRPr="00341DF6" w:rsidRDefault="003316B7"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Naito, Y.I., Yamane, M., Kitagawa, H., 2020. A protocol for using attenuated total reflection Fourier-transform infrared spectroscopy for pre-screening ancient bone collagen prior to radiocarbon dating. Rapid Communications in Mass Spectrometry 34, e8720.</w:t>
      </w:r>
    </w:p>
    <w:p w:rsidR="00D07442" w:rsidRDefault="00D07442" w:rsidP="005765D4">
      <w:pPr>
        <w:spacing w:before="0" w:after="240"/>
        <w:ind w:left="720" w:hanging="360"/>
        <w:rPr>
          <w:noProof/>
        </w:rPr>
      </w:pPr>
    </w:p>
    <w:p w:rsidR="001A3A58" w:rsidRDefault="001A3A58" w:rsidP="008741AD">
      <w:pPr>
        <w:pStyle w:val="H2"/>
        <w:spacing w:before="0" w:after="240"/>
        <w:ind w:left="720" w:hanging="720"/>
        <w:outlineLvl w:val="0"/>
      </w:pPr>
      <w:r>
        <w:t>Mathematical Geochemistry</w:t>
      </w:r>
      <w:r w:rsidR="00634402">
        <w:t>/Phase Behavior</w:t>
      </w:r>
    </w:p>
    <w:p w:rsidR="006A33BC" w:rsidRPr="00341DF6" w:rsidRDefault="006A33BC"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Du, Y., Zhang, H., Li, X., Zhang, Y., Yuan, S., 2020. Molecular dynamics study on the suitable compatibility conditions of a CO</w:t>
      </w:r>
      <w:r w:rsidRPr="00341DF6">
        <w:rPr>
          <w:rFonts w:ascii="Times New Roman" w:hAnsi="Times New Roman" w:cs="Times New Roman"/>
          <w:sz w:val="24"/>
          <w:szCs w:val="24"/>
          <w:vertAlign w:val="subscript"/>
        </w:rPr>
        <w:t>2</w:t>
      </w:r>
      <w:r w:rsidRPr="00341DF6">
        <w:rPr>
          <w:rFonts w:ascii="Times New Roman" w:hAnsi="Times New Roman" w:cs="Times New Roman"/>
          <w:sz w:val="24"/>
          <w:szCs w:val="24"/>
        </w:rPr>
        <w:t>-cosolvent-light hydrocarbon system by calculating the solubility parameters. Energy &amp; Fuels 34, 3483-3492.</w:t>
      </w:r>
    </w:p>
    <w:p w:rsidR="006A33BC" w:rsidRPr="00341DF6" w:rsidRDefault="006A33BC"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Faisal, H.M.N., Katti, K.S., Katti, D.R., 2020. Modeling the behavior of organic kerogen in the proximity of calcite mineral by molecular dynamics simulations. Energy &amp; Fuels 34, 2849-2860.</w:t>
      </w:r>
    </w:p>
    <w:p w:rsidR="0049088E" w:rsidRPr="00341DF6" w:rsidRDefault="0049088E"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lastRenderedPageBreak/>
        <w:t>Masoudi, M., Miri, R., Hellevang, H., Kord, S., 2020. Modified PC-SAFT characterization technique for modeling asphaltenic crude oil phase behavior. Fluid Phase Equilibria 513, 112545.</w:t>
      </w:r>
    </w:p>
    <w:p w:rsidR="00F407FD" w:rsidRPr="00341DF6" w:rsidRDefault="00F407FD"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 xml:space="preserve">Peng, F., Xiong, K., Wang, R., Li, Y., Guo, Z., Feng, G., 2020. Molecular insight into microbehaviors of </w:t>
      </w:r>
      <w:r w:rsidRPr="00341DF6">
        <w:rPr>
          <w:rFonts w:ascii="Times New Roman" w:hAnsi="Times New Roman" w:cs="Times New Roman"/>
          <w:i/>
          <w:sz w:val="24"/>
          <w:szCs w:val="24"/>
        </w:rPr>
        <w:t>n</w:t>
      </w:r>
      <w:r w:rsidRPr="00341DF6">
        <w:rPr>
          <w:rFonts w:ascii="Times New Roman" w:hAnsi="Times New Roman" w:cs="Times New Roman"/>
          <w:sz w:val="24"/>
          <w:szCs w:val="24"/>
        </w:rPr>
        <w:t>-decane and CO</w:t>
      </w:r>
      <w:r w:rsidRPr="00341DF6">
        <w:rPr>
          <w:rFonts w:ascii="Times New Roman" w:hAnsi="Times New Roman" w:cs="Times New Roman"/>
          <w:sz w:val="24"/>
          <w:szCs w:val="24"/>
          <w:vertAlign w:val="subscript"/>
        </w:rPr>
        <w:t>2</w:t>
      </w:r>
      <w:r w:rsidRPr="00341DF6">
        <w:rPr>
          <w:rFonts w:ascii="Times New Roman" w:hAnsi="Times New Roman" w:cs="Times New Roman"/>
          <w:sz w:val="24"/>
          <w:szCs w:val="24"/>
        </w:rPr>
        <w:t xml:space="preserve"> in mineral nanopores. Energy &amp; Fuels 34, 2925-2935.</w:t>
      </w:r>
    </w:p>
    <w:p w:rsidR="00123F4A" w:rsidRPr="00341DF6" w:rsidRDefault="00123F4A"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Szczerba, M., McCarty, D.K., Derkowski, A., Kowalik, M., 2020. Molecular dynamics simulations of interactions of organic molecules found in oil with smectite: Influence of brine chemistry on oil recovery. Journal of Petroleum Science and Engineering 191, 107148.</w:t>
      </w:r>
    </w:p>
    <w:p w:rsidR="001A3A58" w:rsidRPr="00AE0525" w:rsidRDefault="001A3A58" w:rsidP="008741AD">
      <w:pPr>
        <w:spacing w:before="0" w:after="240"/>
        <w:ind w:left="720" w:hanging="720"/>
      </w:pPr>
    </w:p>
    <w:p w:rsidR="001A3A58" w:rsidRDefault="001A3A58" w:rsidP="008741AD">
      <w:pPr>
        <w:pStyle w:val="H2"/>
        <w:spacing w:before="0" w:after="240"/>
        <w:ind w:left="720" w:hanging="720"/>
        <w:outlineLvl w:val="0"/>
      </w:pPr>
      <w:r>
        <w:t>Microbiology/Extremophiles</w:t>
      </w:r>
    </w:p>
    <w:p w:rsidR="0032333B" w:rsidRPr="00341DF6" w:rsidRDefault="0032333B"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Behrendt, L., Trampe, E.L., Nord, N.B., Nguyen, J., Kühl, M., Lonco, D., Nyarko, A., Dhinojwala, A., Hershey, O.S., Barton, H., 2020. Life in the dark: far-red absorbing cyanobacteria extend photic zones deep into terrestrial caves. Environmental Microbiology 22, 952-963.</w:t>
      </w:r>
    </w:p>
    <w:p w:rsidR="005C5B53" w:rsidRPr="00341DF6" w:rsidRDefault="005C5B53"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Chang, Y.-W., 2020. Bacteria suit up with virus armor. Proceedings of the National Academy of Sciences 117, 6297-6299.</w:t>
      </w:r>
    </w:p>
    <w:p w:rsidR="006A33BC" w:rsidRPr="00341DF6" w:rsidRDefault="006A33BC"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 xml:space="preserve">Flores, N., Hoyos, S., Venegas, M., Galetović, A., Zúñiga, L.M., Fábrega, F., Paredes, B., Salazar-Ardiles, C., Vilo, C., Ascaso, C., Wierzchos, J., Souza-Egipsy, V., Araya, J.E., Batista-García, R.A., Gómez-Silva, B., 2020. </w:t>
      </w:r>
      <w:r w:rsidRPr="00341DF6">
        <w:rPr>
          <w:rFonts w:ascii="Times New Roman" w:hAnsi="Times New Roman" w:cs="Times New Roman"/>
          <w:i/>
          <w:sz w:val="24"/>
          <w:szCs w:val="24"/>
        </w:rPr>
        <w:t xml:space="preserve">Haloterrigena </w:t>
      </w:r>
      <w:r w:rsidRPr="00341DF6">
        <w:rPr>
          <w:rFonts w:ascii="Times New Roman" w:hAnsi="Times New Roman" w:cs="Times New Roman"/>
          <w:sz w:val="24"/>
          <w:szCs w:val="24"/>
        </w:rPr>
        <w:t>sp. strain SGH1, a bacterioruberin-rich, perchlorate-tolerant halophilic archaeon isolated from halite microbial communities, Atacama Desert, Chile. Frontiers in Microbiology 11, 324. doi: 310.3389/fmicb.2020.00324.</w:t>
      </w:r>
    </w:p>
    <w:p w:rsidR="006A33BC" w:rsidRPr="00341DF6" w:rsidRDefault="006A33BC"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Geerlings, N.M.J., Karman, C., Trashin, S., As, K.S., Kienhuis, M.V.M., Hidalgo-Martinez, S., Vasquez-Cardenas, D., Boschker, H.T.S., De Wael, K., Middelburg, J.J., Polerecky, L., Meysman, F.J.R., 2020. Division of labor and growth during electrical cooperation in multicellular cable bacteria. Proceedings of the National Academy of Sciences 117, 5478-5485.</w:t>
      </w:r>
    </w:p>
    <w:p w:rsidR="00DF0DA9" w:rsidRPr="00341DF6" w:rsidRDefault="00DF0DA9"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 xml:space="preserve">Hoffmann, K., Bienhold, C., Buttigieg, P.L., Knittel, K., Laso-Pérez, R., Rapp, J.Z., Boetius, A., Offre, P., 2020. Diversity and metabolism of </w:t>
      </w:r>
      <w:r w:rsidRPr="00341DF6">
        <w:rPr>
          <w:rFonts w:ascii="Times New Roman" w:hAnsi="Times New Roman" w:cs="Times New Roman"/>
          <w:i/>
          <w:sz w:val="24"/>
          <w:szCs w:val="24"/>
        </w:rPr>
        <w:t xml:space="preserve">Woeseiales </w:t>
      </w:r>
      <w:r w:rsidRPr="00341DF6">
        <w:rPr>
          <w:rFonts w:ascii="Times New Roman" w:hAnsi="Times New Roman" w:cs="Times New Roman"/>
          <w:sz w:val="24"/>
          <w:szCs w:val="24"/>
        </w:rPr>
        <w:t>bacteria, global members of marine sediment communities. The ISME Journal 14, 1042-1056.</w:t>
      </w:r>
    </w:p>
    <w:p w:rsidR="00F15A92" w:rsidRPr="00341DF6" w:rsidRDefault="00F15A92"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 xml:space="preserve">Maeng, S., Kim, M.K., Subramani, G., 2020. </w:t>
      </w:r>
      <w:r w:rsidRPr="00341DF6">
        <w:rPr>
          <w:rFonts w:ascii="Times New Roman" w:hAnsi="Times New Roman" w:cs="Times New Roman"/>
          <w:i/>
          <w:sz w:val="24"/>
          <w:szCs w:val="24"/>
        </w:rPr>
        <w:t xml:space="preserve">Hymenobacter jejuensis </w:t>
      </w:r>
      <w:r w:rsidRPr="00341DF6">
        <w:rPr>
          <w:rFonts w:ascii="Times New Roman" w:hAnsi="Times New Roman" w:cs="Times New Roman"/>
          <w:sz w:val="24"/>
          <w:szCs w:val="24"/>
        </w:rPr>
        <w:t>sp. nov., a UV radiation-tolerant bacterium isolated from Jeju Island. Antonie van Leeuwenhoek 113, 553-561.</w:t>
      </w:r>
    </w:p>
    <w:p w:rsidR="001A3A58" w:rsidRDefault="001A3A58" w:rsidP="009A1C1B">
      <w:pPr>
        <w:widowControl/>
        <w:spacing w:before="0" w:after="120"/>
        <w:ind w:left="360" w:hanging="360"/>
      </w:pPr>
    </w:p>
    <w:p w:rsidR="001A3A58" w:rsidRDefault="001A3A58" w:rsidP="005765D4">
      <w:pPr>
        <w:pStyle w:val="H3"/>
        <w:spacing w:before="0" w:after="240"/>
        <w:ind w:hanging="360"/>
      </w:pPr>
      <w:r>
        <w:t>Microbial Ecosystems</w:t>
      </w:r>
    </w:p>
    <w:p w:rsidR="005C5B53" w:rsidRPr="00341DF6" w:rsidRDefault="005C5B53"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Chen, Y., Li, S., Yu, Z., Chen, Y., Mi, T., Zhen, Y.,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Characteristics of the Bathyarchaeota community in surface sediments from the southern Yellow Sea and northern East China sea. Estuarine, Coastal and Shelf Science 235, 106595.</w:t>
      </w:r>
    </w:p>
    <w:p w:rsidR="006A33BC" w:rsidRPr="00341DF6" w:rsidRDefault="006A33BC"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lastRenderedPageBreak/>
        <w:t>Foster, L., Boothman, C., Ruiz-Lopez, S., Boshoff, G., Jenkinson, P., Sigee, D., Pittman, J.K., Morris, K., Lloyd, J.R., 2020. Microbial bloom formation in a high pH spent nuclear fuel pond. Science of The Total Environment 720, 137515.</w:t>
      </w:r>
    </w:p>
    <w:p w:rsidR="00DF0DA9" w:rsidRPr="00341DF6" w:rsidRDefault="00DF0DA9"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He, W., Wang, G., Wang, Y., Wei, Z., Huang, Z., Zhang, T., Ma, X., Ma, H., Yu, X.,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Microbial communities and lipid records of the Linxia Basin, NE Tibetan Plateau: Implications for enhanced aridity in the Late Miocene. Journal of Asian Earth Sciences 193, 104290.</w:t>
      </w:r>
    </w:p>
    <w:p w:rsidR="00672046" w:rsidRPr="00341DF6" w:rsidRDefault="00672046"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Jordan, S.F.A., Treude, T., Leifer, I., Janßen, R., Werner, J., Schulz-Vogt, H., Schmale, O., 2020. Bubble-mediated transport of benthic microorganisms into the water column: Identification of methanotrophs and implication of seepage intensity on transport efficiency. Scientific Reports 10, 4682.</w:t>
      </w:r>
    </w:p>
    <w:p w:rsidR="00672046" w:rsidRPr="00341DF6" w:rsidRDefault="00672046"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Kapili, B.J., Barnett, S.E., Buckley, D.H., Dekas, A.E., 2020. Evidence for phylogenetically and catabolically diverse active diazotrophs in deep-sea sediment. The ISME Journal 14, 971-983.</w:t>
      </w:r>
    </w:p>
    <w:p w:rsidR="0064405D" w:rsidRPr="00341DF6" w:rsidRDefault="0064405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Li, J., Mara, P., Schubotz, F., Sylvan, J.B., Burgaud, G., Klein, F., Beaudoin, D., Wee, S.Y., Dick, H.J.B., Lott, S., Cox, R., Meyer, L.A.E., Quémener, M., Blackman, D.K., Edgcomb, V.P.,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Recycling and metabolic flexibility dictate life in the lower oceanic crust. Nature 579, 250-255.</w:t>
      </w:r>
    </w:p>
    <w:p w:rsidR="00F15A92" w:rsidRPr="00341DF6" w:rsidRDefault="00F15A92"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Ma, L., Jiang, X., Liu, G., Yao, L., Liu, W., Pan, Y., Zuo, Y.,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Environmental factors and microbial diversity and abundance jointly regulate soil nitrogen and carbon biogeochemical processes in Tibetan wetlands. Environmental Science &amp; Technology 54, 3267-3277.</w:t>
      </w:r>
    </w:p>
    <w:p w:rsidR="00F15A92" w:rsidRPr="00341DF6" w:rsidRDefault="00F15A92"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Mahmoudi, N., Hagen, S.M., Hazen, T.C., Steen, A.D., 2020. Patterns in extracellular enzyme activity and microbial diversity in deep-sea Mediterranean sediments. Deep Sea Research Part I: Oceanographic Research Papers 158, 103231.</w:t>
      </w:r>
    </w:p>
    <w:p w:rsidR="00BC6CFF" w:rsidRPr="00341DF6" w:rsidRDefault="00BC6CFF"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Sommer, V., Karsten, U., Glaser, K., 2020. Halophilic algal communities in biological soil crusts isolated from potash tailings pile areas. Frontiers in Ecology and Evolution 8, 399, 121–134. doi: 310.1007/s11104-11015-12687-y.</w:t>
      </w:r>
    </w:p>
    <w:p w:rsidR="00F963EF" w:rsidRPr="00404980" w:rsidRDefault="00F963EF" w:rsidP="00DB42FE">
      <w:pPr>
        <w:pStyle w:val="EndNoteBibliography"/>
        <w:spacing w:after="120"/>
        <w:ind w:left="720" w:hanging="360"/>
        <w:rPr>
          <w:rFonts w:ascii="Times New Roman" w:hAnsi="Times New Roman" w:cs="Times New Roman"/>
          <w:sz w:val="24"/>
          <w:szCs w:val="24"/>
        </w:rPr>
      </w:pPr>
      <w:r w:rsidRPr="00404980">
        <w:rPr>
          <w:rFonts w:ascii="Times New Roman" w:hAnsi="Times New Roman" w:cs="Times New Roman"/>
          <w:sz w:val="24"/>
          <w:szCs w:val="24"/>
        </w:rPr>
        <w:t>Sun, F., Wu, M., Wang, Y., Sun, C., Xu, Z., 2020. Diversity and potential function of bacterial communities in different upwelling systems. Estuarine, Coastal and Shelf Science 237, 106698.</w:t>
      </w:r>
    </w:p>
    <w:p w:rsidR="00123F4A" w:rsidRPr="00341DF6" w:rsidRDefault="00123F4A"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Tait, A.W., Gagen, E.J., Wilson, S.A., Tomkins, A.G., Southam, G., 2020. Eukaryotic colonization of micrometer-scale cracks in rocks: A “microfluidics” experiment using naturally weathered meteorites from the Nullarbor Plain, Australia. Astrobiology 20, 364-374.</w:t>
      </w:r>
    </w:p>
    <w:p w:rsidR="00911845" w:rsidRPr="00341DF6" w:rsidRDefault="00911845"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Walworth, N.G., Zakem, E.J., Dunne, J.P., Collins, S., Levine, N.M., 2020. Microbial evolutionary strategies in a dynamic ocean. Proceedings of the National Academy of Sciences 117, 5943-5948.</w:t>
      </w:r>
    </w:p>
    <w:p w:rsidR="00911845" w:rsidRPr="00341DF6" w:rsidRDefault="00911845"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York, A., 2020. Too big to be ignored. Nature Reviews Microbiology 18, 192-192.</w:t>
      </w:r>
    </w:p>
    <w:p w:rsidR="00C90188" w:rsidRPr="00341DF6" w:rsidRDefault="00C90188"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lastRenderedPageBreak/>
        <w:t xml:space="preserve">Zhang, E., Thibaut, L.M., Terauds, A., Raven, M., Tanaka, M.M., van Dorst, J., Wong, S.Y., Crane, S., Ferrari, B.C.,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Lifting the veil on arid-to-hyperarid Antarctic soil microbiomes: a tale of two oases. Microbiome 8, 37.</w:t>
      </w:r>
    </w:p>
    <w:p w:rsidR="001A3A58" w:rsidRDefault="001A3A58" w:rsidP="00DB42FE">
      <w:pPr>
        <w:widowControl/>
        <w:spacing w:before="0" w:after="120"/>
        <w:ind w:left="720" w:hanging="360"/>
      </w:pPr>
    </w:p>
    <w:p w:rsidR="002B0AA5" w:rsidRDefault="002B0AA5" w:rsidP="002B0AA5">
      <w:pPr>
        <w:pStyle w:val="H3"/>
        <w:spacing w:before="0" w:after="240"/>
        <w:ind w:hanging="360"/>
      </w:pPr>
      <w:r w:rsidRPr="002B0AA5">
        <w:t>Theme issue ‘Conceptual challenges in microbial community ecology’ compiled and edited by James I. Prosser and Jennifer B.H. Martiny</w:t>
      </w:r>
      <w:r>
        <w:t xml:space="preserve">; </w:t>
      </w:r>
      <w:r w:rsidRPr="002B0AA5">
        <w:t>Philosophical Transactions of the Royal Society B: Biological Sciences 37</w:t>
      </w:r>
    </w:p>
    <w:p w:rsidR="002B0AA5" w:rsidRDefault="002B0AA5" w:rsidP="00DB42FE">
      <w:pPr>
        <w:widowControl/>
        <w:spacing w:before="0" w:after="120"/>
        <w:ind w:left="720" w:hanging="360"/>
      </w:pPr>
      <w:r w:rsidRPr="002B0AA5">
        <w:t>Prosser, J.I., Martiny, J.B.H., 2020. Conceptual challenges in microbial community ecology. Philosophical Transactions of the Royal Society B: Biological Sciences 375, 20190241.</w:t>
      </w:r>
    </w:p>
    <w:p w:rsidR="002B0AA5" w:rsidRPr="00341DF6" w:rsidRDefault="002B0AA5"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Prosser, J.I., 2020. Putting science back into microbial ecology: a question of approach. Philosophical Transactions of the Royal Society B: Biological Sciences 375, 20190240.</w:t>
      </w:r>
    </w:p>
    <w:p w:rsidR="002B0AA5" w:rsidRPr="00341DF6" w:rsidRDefault="002B0AA5"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VanInsberghe, D., Arevalo, P., Chien, D., Polz, M.F., 2020. How can microbial population genomics inform community ecology? Philosophical Transactions of the Royal Society B: Biological Sciences 375, 20190253.</w:t>
      </w:r>
    </w:p>
    <w:p w:rsidR="002B0AA5" w:rsidRPr="00341DF6" w:rsidRDefault="002B0AA5"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Rainey, P.B., Quistad, S.D., 2020. Toward a dynamical understanding of microbial communities. Philosophical Transactions of the Royal Society B: Biological Sciences 375, 20190248.</w:t>
      </w:r>
    </w:p>
    <w:p w:rsidR="002B0AA5" w:rsidRPr="00341DF6" w:rsidRDefault="002B0AA5"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Kohl, K.D., 2020. Ecological and evolutionary mechanisms underlying patterns of phylosymbiosis in host-associated microbial communities. Philosophical Transactions of the Royal Society B: Biological Sciences 375, 20190251.</w:t>
      </w:r>
    </w:p>
    <w:p w:rsidR="002B0AA5" w:rsidRPr="00341DF6" w:rsidRDefault="002B0AA5"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Bernhardt, J.R., Kratina, P., Pereira, A.L., Tamminen, M., Thomas, M.K., Narwani, A., 2020. The evolution of competitive ability for essential resources. Philosophical Transactions of the Royal Society B: Biological Sciences 375, 20190247.</w:t>
      </w:r>
    </w:p>
    <w:p w:rsidR="002B0AA5" w:rsidRPr="00341DF6" w:rsidRDefault="002B0AA5"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Gorter, F.A., Manhart, M., Ackermann, M., 2020. Understanding the evolution of interspecies interactions in microbial communities. Philosophical Transactions of the Royal Society B: Biological Sciences 375, 20190256.</w:t>
      </w:r>
    </w:p>
    <w:p w:rsidR="00122B07" w:rsidRPr="00341DF6" w:rsidRDefault="00122B07"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Castledine, M., Sierocinski, P., Padfield, D., Buckling, A., 2020. Community coalescence: an eco-evolutionary perspective. Philosophical Transactions of the Royal Society B: Biological Sciences 375, 20190252.</w:t>
      </w:r>
    </w:p>
    <w:p w:rsidR="00122B07" w:rsidRPr="00341DF6" w:rsidRDefault="00122B07"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Douglas, A.E., 2020. The microbial exometabolome: ecological resource and architect of microbial communities. Philosophical Transactions of the Royal Society B: Biological Sciences 375, 20190250.</w:t>
      </w:r>
    </w:p>
    <w:p w:rsidR="00122B07" w:rsidRPr="00341DF6" w:rsidRDefault="00122B07"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Pascual-García, A., Bonhoeffer, S., Bell, T., 2020. Metabolically cohesive microbial consortia and ecosystem functioning. Philosophical Transactions of the Royal Society B: Biological Sciences 375, 20190245.</w:t>
      </w:r>
    </w:p>
    <w:p w:rsidR="00122B07" w:rsidRPr="00341DF6" w:rsidRDefault="00122B07"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Ciccarese, D., Zuidema, A., Merlo, V., Johnson, D.R., 2020. Interaction-dependent effects of surface structure on microbial spatial self-organization. Philosophical Transactions of the Royal Society B: Biological Sciences 375, 20190246.</w:t>
      </w:r>
    </w:p>
    <w:p w:rsidR="00122B07" w:rsidRPr="00341DF6" w:rsidRDefault="00122B07"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lastRenderedPageBreak/>
        <w:t>Nunan, N., Schmidt, H., Raynaud, X., 2020. The ecology of heterogeneity: soil bacterial communities and C dynamics. Philosophical Transactions of the Royal Society B: Biological Sciences 375, 20190249.</w:t>
      </w:r>
    </w:p>
    <w:p w:rsidR="002B0AA5" w:rsidRDefault="00122B07" w:rsidP="00DB42FE">
      <w:pPr>
        <w:widowControl/>
        <w:spacing w:before="0" w:after="120"/>
        <w:ind w:left="720" w:hanging="360"/>
      </w:pPr>
      <w:r w:rsidRPr="00122B07">
        <w:t>Locey, K.J., Muscarella, M.E., Larsen, M.L., Bray, S.R., Jones, S.E., Lennon, J.T., 2020. Dormancy dampens the microbial distance–decay relationship. Philosophical Transactions of the Royal Society B: Biological Sciences 375, 20190243.</w:t>
      </w:r>
    </w:p>
    <w:p w:rsidR="00122B07" w:rsidRDefault="00122B07" w:rsidP="00DB42FE">
      <w:pPr>
        <w:widowControl/>
        <w:spacing w:before="0" w:after="120"/>
        <w:ind w:left="720" w:hanging="360"/>
      </w:pPr>
      <w:r w:rsidRPr="00122B07">
        <w:t>Sorensen, J.W., Shade, A., 2020. Dormancy dynamics and dispersal contribute to soil microbiome resilience. Philosophical Transactions of the Royal Society B: Biological Sciences 375, 20190255.</w:t>
      </w:r>
    </w:p>
    <w:p w:rsidR="00122B07" w:rsidRDefault="00122B07" w:rsidP="00DB42FE">
      <w:pPr>
        <w:widowControl/>
        <w:spacing w:before="0" w:after="120"/>
        <w:ind w:left="720" w:hanging="360"/>
      </w:pPr>
      <w:r w:rsidRPr="00122B07">
        <w:t>Van de Waal, D.B., Litchman, E., 2020. Multiple global change stressor effects on phytoplankton nutrient acquisition in a future ocean. Philosophical Transactions of the Royal Society B: Biological Sciences 375, 20190706.</w:t>
      </w:r>
    </w:p>
    <w:p w:rsidR="00122B07" w:rsidRDefault="00122B07" w:rsidP="00DB42FE">
      <w:pPr>
        <w:widowControl/>
        <w:spacing w:before="0" w:after="120"/>
        <w:ind w:left="720" w:hanging="360"/>
      </w:pPr>
      <w:r w:rsidRPr="00122B07">
        <w:t>Isobe, K., Bouskill, N.J., Brodie, E.L., Sudderth, E.A., Martiny, J.B.H., 2020. Phylogenetic conservation of soil bacterial responses to simulated global changes. Philosophical Transactions of the Royal Society B: Biological Sciences 375, 20190242.</w:t>
      </w:r>
    </w:p>
    <w:p w:rsidR="00122B07" w:rsidRDefault="00122B07" w:rsidP="00DB42FE">
      <w:pPr>
        <w:widowControl/>
        <w:spacing w:before="0" w:after="120"/>
        <w:ind w:left="720" w:hanging="360"/>
      </w:pPr>
      <w:r w:rsidRPr="00122B07">
        <w:t>Morris, A., Meyer, K., Bohannan, B., 2020. Linking microbial communities to ecosystem functions: what we can learn from genotype–phenotype mapping in organisms. Philosophical Transactions of the Royal Society B: Biological Sciences 375, 20190244.</w:t>
      </w:r>
    </w:p>
    <w:p w:rsidR="00122B07" w:rsidRPr="00341DF6" w:rsidRDefault="00122B07"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Garcia, C.A., Hagstrom, G.I., Larkin, A.A., Ustick, L.J., Levin, S.A., Lomas, M.W., Martiny, A.C., 2020. Linking regional shifts in microbial genome adaptation with surface ocean biogeochemistry. Philosophical Transactions of the Royal Society B: Biological Sciences 375, 20190254.</w:t>
      </w:r>
    </w:p>
    <w:p w:rsidR="00122B07" w:rsidRDefault="00F55A9D" w:rsidP="00DB42FE">
      <w:pPr>
        <w:widowControl/>
        <w:spacing w:before="0" w:after="120"/>
        <w:ind w:left="720" w:hanging="360"/>
      </w:pPr>
      <w:r w:rsidRPr="00F55A9D">
        <w:t>Quistad, S.D., Doulcier, G., Rainey, P.B., 2020. Experimental manipulation of selfish genetic elements links genes to microbial community function. Philosophical Transactions of the Royal Society B: Biological Sciences 375, 20190681.</w:t>
      </w:r>
    </w:p>
    <w:p w:rsidR="001A3A58" w:rsidRDefault="001A3A58" w:rsidP="005765D4">
      <w:pPr>
        <w:pStyle w:val="H3"/>
        <w:spacing w:before="0" w:after="240"/>
        <w:ind w:hanging="360"/>
      </w:pPr>
      <w:r>
        <w:t>Petroleum Degraders</w:t>
      </w:r>
    </w:p>
    <w:p w:rsidR="00123F4A" w:rsidRPr="00341DF6" w:rsidRDefault="00123F4A"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Tarhriz, V., Nouioui, I., Spröer, C., Verbarg, S., Ebrahimi, V., Cortés-Albayay, C., Schumann, P., Hejazi, M.A., Klenk, H.-P., Hejazi, M.S., 2020. </w:t>
      </w:r>
      <w:r w:rsidRPr="00341DF6">
        <w:rPr>
          <w:rFonts w:ascii="Times New Roman" w:hAnsi="Times New Roman" w:cs="Times New Roman"/>
          <w:i/>
          <w:sz w:val="24"/>
          <w:szCs w:val="24"/>
        </w:rPr>
        <w:t xml:space="preserve">Pseudomonas khazarica </w:t>
      </w:r>
      <w:r w:rsidRPr="00341DF6">
        <w:rPr>
          <w:rFonts w:ascii="Times New Roman" w:hAnsi="Times New Roman" w:cs="Times New Roman"/>
          <w:sz w:val="24"/>
          <w:szCs w:val="24"/>
        </w:rPr>
        <w:t>sp. nov., a polycyclic aromatic hydrocarbon-degrading bacterium isolated from Khazar Sea sediments. Antonie van Leeuwenhoek 113, 521-532.</w:t>
      </w:r>
    </w:p>
    <w:p w:rsidR="00911845" w:rsidRPr="00341DF6" w:rsidRDefault="00911845"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Wang, J.-W., Cai, M., Nie, Y., Hu, B., Yang, Y., Wu, X.-L., </w:t>
      </w:r>
      <w:r w:rsidR="00616347">
        <w:rPr>
          <w:rFonts w:ascii="Times New Roman" w:hAnsi="Times New Roman" w:cs="Times New Roman"/>
          <w:sz w:val="24"/>
          <w:szCs w:val="24"/>
        </w:rPr>
        <w:t xml:space="preserve">2020. </w:t>
      </w:r>
      <w:r w:rsidRPr="00341DF6">
        <w:rPr>
          <w:rFonts w:ascii="Times New Roman" w:hAnsi="Times New Roman" w:cs="Times New Roman"/>
          <w:i/>
          <w:sz w:val="24"/>
          <w:szCs w:val="24"/>
        </w:rPr>
        <w:t xml:space="preserve">Pseudomonas jilinensis </w:t>
      </w:r>
      <w:r w:rsidRPr="00341DF6">
        <w:rPr>
          <w:rFonts w:ascii="Times New Roman" w:hAnsi="Times New Roman" w:cs="Times New Roman"/>
          <w:sz w:val="24"/>
          <w:szCs w:val="24"/>
        </w:rPr>
        <w:t>sp. nov., isolated from oil production water of Jilin oilfield in China. Current Microbiology 77, 688-694.</w:t>
      </w:r>
    </w:p>
    <w:p w:rsidR="00C90188" w:rsidRPr="00341DF6" w:rsidRDefault="00C90188"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Zhou, Q.-Z., Xu, X.-M., Xu, H., Zheng, G.-Z., Pi, W.-L., Jiang, Y.-L., Xu, X.-P., Li, Y., Wang, J.-H.,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Surface microbial geochemistry of the Beihanzhuang oilfield, northern Jiangsu, China. Journal of Petroleum Science and Engineering 191, 107140.</w:t>
      </w:r>
    </w:p>
    <w:p w:rsidR="001A3A58" w:rsidRPr="00AE0525" w:rsidRDefault="001A3A58" w:rsidP="005765D4">
      <w:pPr>
        <w:widowControl/>
        <w:spacing w:before="0" w:after="240"/>
        <w:ind w:left="360" w:hanging="360"/>
      </w:pPr>
    </w:p>
    <w:p w:rsidR="001A3A58" w:rsidRDefault="001A3A58" w:rsidP="008741AD">
      <w:pPr>
        <w:pStyle w:val="H2"/>
        <w:spacing w:before="0" w:after="240"/>
        <w:ind w:left="720" w:hanging="720"/>
        <w:outlineLvl w:val="0"/>
      </w:pPr>
      <w:r>
        <w:lastRenderedPageBreak/>
        <w:t>Paleoclimatology/</w:t>
      </w:r>
      <w:r w:rsidR="00A92A4D">
        <w:t>Paleoceanography</w:t>
      </w:r>
    </w:p>
    <w:p w:rsidR="00BB53BD" w:rsidRPr="00341DF6" w:rsidRDefault="00BB53BD"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Ajayi, S., Kump, L.R., Ridgwell, A., Kirtland Turner, S., Hay, C.C., Bralower, T.J., 2020. Evaluation of Paleocene-Eocene Thermal Maximum carbon isotope record completeness—an illustration of the potential of dynamic time warping in aligning paleo-proxy records. Geochemistry, Geophysics, Geosystems 21, e2019GC008620.</w:t>
      </w:r>
    </w:p>
    <w:p w:rsidR="00BB53BD" w:rsidRPr="00341DF6" w:rsidRDefault="00BB53BD"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Anhäuser, T., Sehls, B., Thomas, W., Hartl, C., Greule, M., Scholz, D., Esper, J., Keppler, F., 2020. Tree-ring δ</w:t>
      </w:r>
      <w:r w:rsidRPr="00341DF6">
        <w:rPr>
          <w:rFonts w:ascii="Times New Roman" w:hAnsi="Times New Roman" w:cs="Times New Roman"/>
          <w:sz w:val="24"/>
          <w:szCs w:val="24"/>
          <w:vertAlign w:val="superscript"/>
        </w:rPr>
        <w:t>2</w:t>
      </w:r>
      <w:r w:rsidRPr="00341DF6">
        <w:rPr>
          <w:rFonts w:ascii="Times New Roman" w:hAnsi="Times New Roman" w:cs="Times New Roman"/>
          <w:sz w:val="24"/>
          <w:szCs w:val="24"/>
        </w:rPr>
        <w:t>H values from lignin methoxyl groups indicate sensitivity to European-scale temperature changes. Palaeogeography, Palaeoclimatology, Palaeoecology 546, 109665.</w:t>
      </w:r>
    </w:p>
    <w:p w:rsidR="00BB53BD" w:rsidRPr="00341DF6" w:rsidRDefault="00BB53BD"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Baatsen, M., von der Heydt, A.S., Huber, M., Kliphuis, M.A., Bijl, P.K., Sluijs, A., Dijkstra, H.A., 2020. The middle-to-late Eocene greenhouse climate, modelled using the CESM 1.0.5. Climate of the Past Discussions 2020, 1-44.</w:t>
      </w:r>
    </w:p>
    <w:p w:rsidR="00BB53BD" w:rsidRPr="00341DF6" w:rsidRDefault="00BB53BD"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Bastos, L.P.H., Pereira, E., da Costa Cavalcante, D., Ferreira Alferes, C.L., Jorge de Menezes, C., Rodrigues, R., 2020. Expression of Early Cretaceous global anoxic events in northeastern Brazilian basins. Cretaceous Research 110, 104390.</w:t>
      </w:r>
    </w:p>
    <w:p w:rsidR="00F55A9D" w:rsidRPr="00341DF6" w:rsidRDefault="00F55A9D"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Boudinot, F.G., Dildar, N., Leckie, R.M., Parker, A., Jones, M.M., Sageman, B.B., Bralower, T.J., Sepúlveda, J., 2020. Neritic ecosystem response to Oceanic Anoxic Event 2 in the Cretaceous Western Interior Seaway, USA. Palaeogeography, Palaeoclimatology, Palaeoecology 546, 109673.</w:t>
      </w:r>
    </w:p>
    <w:p w:rsidR="005C5B53" w:rsidRPr="00341DF6" w:rsidRDefault="005C5B53"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Chang, X., Huang, Y., Chen, Z., Hou, M., 2020. The microscopic analysis of pyrite framboids and application in paleo-oceanography. Acta Sedimentologica Sinica 38, 150-165.</w:t>
      </w:r>
    </w:p>
    <w:p w:rsidR="005C5B53" w:rsidRPr="00341DF6" w:rsidRDefault="005C5B53"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Dearing Crampton-Flood, E., Noorbergen, L.J., Smits, D., Boschman, R.C., Donders, T.H., Munsterman, D.K., ten Veen, J., Peterse, F., Lourens, L., Sinninghe Damsté, J.S., 2020. A new age model for the Pliocene of the southern North Sea basin: a multi-proxy climate reconstruction. Climate of the Past 16, 523-541.</w:t>
      </w:r>
    </w:p>
    <w:p w:rsidR="006A33BC" w:rsidRPr="00341DF6" w:rsidRDefault="006A33BC"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Erhardt, A.M., Turchyn, A.V., Bradbury, H.J., Dickson, J.A.D., 2020. The calcium isotopic composition of carbonate hardground cements: A new record of changes in ocean chemistry? Chemical Geology 540, 119490.</w:t>
      </w:r>
    </w:p>
    <w:p w:rsidR="00DF0DA9" w:rsidRPr="00341DF6" w:rsidRDefault="00DF0DA9"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 xml:space="preserve">He, Y., Wang, H., Meng, B., Liu, H., Zhou, A., Song, M., Kolpakova, M., Krivonogov, S., Liu, W., Liu, Z.,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Appraisal of alkenone- and archaeal ether-based salinity indicators in mid-latitude Asian lakes. Earth and Planetary Science Letters 538, 116236.</w:t>
      </w:r>
    </w:p>
    <w:p w:rsidR="00DF0DA9" w:rsidRPr="00341DF6" w:rsidRDefault="00DF0DA9"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Hesselbo, S.P., Korte, C., Ullmann, C.V., Ebbesen, A.L., 2020. Carbon and oxygen isotope records from the southern Eurasian Seaway following the Triassic-Jurassic boundary: Parallel long-term enhanced carbon burial and seawater warming. Earth-Science Reviews 203, 103131.</w:t>
      </w:r>
    </w:p>
    <w:p w:rsidR="00DF0DA9" w:rsidRPr="00341DF6" w:rsidRDefault="00DF0DA9"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Jenny, J.-P., Koirala, S., Gregory-Eaves, I., Francus, P., Ahrens, B., Brovkin, V., Ojala, A.E.K., Zolitschka, B., Bader, J., Carvalhais, N., 2020. Reply to Li et al.: Human societies began to play a significant role in global sediment transfer 4,000 years ago. Proceedings of the National Academy of Sciences 117, 5571.</w:t>
      </w:r>
    </w:p>
    <w:p w:rsidR="00BE7B53" w:rsidRPr="00341DF6" w:rsidRDefault="00BE7B53"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lastRenderedPageBreak/>
        <w:t>Joo, Y.J., Sageman, B.B., Hurtgen, M.T., 2020. Data-model comparison reveals key environmental changes leading to Cenomanian-Turonian Oceanic Anoxic Event 2. Earth-Science Reviews 203, 103123.</w:t>
      </w:r>
    </w:p>
    <w:p w:rsidR="00672046" w:rsidRPr="00341DF6" w:rsidRDefault="00672046"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Kabanov, P., Jiang, C., 2020. Photic-zone euxinia and anoxic events in a Middle-Late Devonian shelfal sea of Panthalassan continental margin, NW Canada: Changing paradigm of Devonian ocean and sea level fluctuations. Global and Planetary Change 188, 103153.</w:t>
      </w:r>
    </w:p>
    <w:p w:rsidR="0064405D" w:rsidRPr="00341DF6" w:rsidRDefault="0064405D"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 xml:space="preserve">Li, C., Zhang, Z., Jin, C., Cheng, M., Wang, H., Huang, J., Algeo, T.J.,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Spatiotemporal evolution and causes of marine euxinia in the early Cambrian Nanhua Basin (South China). Palaeogeography, Palaeoclimatology, Palaeoecology 546, 109676.</w:t>
      </w:r>
    </w:p>
    <w:p w:rsidR="0064405D" w:rsidRPr="00341DF6" w:rsidRDefault="0064405D"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 xml:space="preserve">Li, Y., Tian, Y., Guo, H., Wei, S., Cao, J., Huang, C., Shi, F., Rao, Z.,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Complex “human−vegetation−climate” interactions in the Late Holocene and their significance for paleotemperature reconstructions. Proceedings of the National Academy of Sciences 117, 5568.</w:t>
      </w:r>
    </w:p>
    <w:p w:rsidR="0049088E" w:rsidRPr="00341DF6" w:rsidRDefault="0049088E"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 xml:space="preserve">Mathews, R.P., Chetia, R., Agrawal, S., Singh, B.D., Singh, P.K., Singh, V.P., Singh, A., 2020. Early Palaeogene climate variability based on </w:t>
      </w:r>
      <w:r w:rsidRPr="00341DF6">
        <w:rPr>
          <w:rFonts w:ascii="Times New Roman" w:hAnsi="Times New Roman" w:cs="Times New Roman"/>
          <w:i/>
          <w:sz w:val="24"/>
          <w:szCs w:val="24"/>
        </w:rPr>
        <w:t>n</w:t>
      </w:r>
      <w:r w:rsidRPr="00341DF6">
        <w:rPr>
          <w:rFonts w:ascii="Times New Roman" w:hAnsi="Times New Roman" w:cs="Times New Roman"/>
          <w:sz w:val="24"/>
          <w:szCs w:val="24"/>
        </w:rPr>
        <w:t>-alkane and stable carbon isotopic composition evidenced from the Barsingsar lignite-bearing sequence of Rajasthan. Journal of the Geological Society of India 95, 255-262.</w:t>
      </w:r>
    </w:p>
    <w:p w:rsidR="0049088E" w:rsidRPr="00341DF6" w:rsidRDefault="0049088E"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Moore, A.M.T., Kennett, J.P., Napier, W.M., Bunch, T.E., Weaver, J.C., LeCompte, M., Adedeji, A.V., Hackley, P., Kletetschka, G., Hermes, R.E., Wittke, J.H., Razink, J.J., Gaultois, M.W., West, A., 2020. Evidence of cosmic impact at Abu Hureyra, Syria at the Younger Dryas onset (~12.8 ka): High-temperature melting at &gt;2200 °C. Scientific Reports 10, 4185.</w:t>
      </w:r>
    </w:p>
    <w:p w:rsidR="00F407FD" w:rsidRPr="00341DF6" w:rsidRDefault="00F407FD"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Pawłowska, J., Łącka, M., Kucharska, M., Pawlowski, J., Zajączkowski, M., 2020. Multiproxy evidence of the neoglacial expansion of Atlantic water to eastern Svalbard. Climate of the Past 16, 487-501.</w:t>
      </w:r>
    </w:p>
    <w:p w:rsidR="00F407FD" w:rsidRPr="00341DF6" w:rsidRDefault="00F407FD"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Piazza, V., Ullmann, C.V., Aberhan, M., 2020. Temperature-related body size change of marine benthic macroinvertebrates across the Early Toarcian Anoxic Event. Scientific Reports 10, 4675.</w:t>
      </w:r>
    </w:p>
    <w:p w:rsidR="00F407FD" w:rsidRPr="00341DF6" w:rsidRDefault="00F407FD"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Pico, T., Mitrovica, J.X., Mix, A.C., 2020. Sea level fingerprinting of the Bering Strait flooding history detects the source of the Younger Dryas climate event. Science Advances 6, eaay2935.</w:t>
      </w:r>
    </w:p>
    <w:p w:rsidR="00123F4A" w:rsidRPr="00341DF6" w:rsidRDefault="00123F4A"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Stocker, T.F., 2020. Surprises for climate stability. Science 367, 1425-1426.</w:t>
      </w:r>
    </w:p>
    <w:p w:rsidR="00911845" w:rsidRPr="00341DF6" w:rsidRDefault="00911845"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Vaziri-Moghaddam, H., Kalanat, B., 2020. Oxygen level, primary productivity, and water turbulence during the OAE2 interval of Zagros Basin (SW Iran): Benthic foraminiferal variations in the carbonate microfacies. Gondwana Research 83, 1-15.</w:t>
      </w:r>
    </w:p>
    <w:p w:rsidR="00911845" w:rsidRPr="00341DF6" w:rsidRDefault="00911845"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 xml:space="preserve">Wang, L., Tian, Y., Zhao, J.,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A rapid hydroclimate change and its influence on the Songliao Basin during the Santonian-Campanian transition as recorded by compound-specific isotopes. Palaeogeography, Palaeoclimatology, Palaeoecology 546, 109674.</w:t>
      </w:r>
    </w:p>
    <w:p w:rsidR="00911845" w:rsidRPr="00341DF6" w:rsidRDefault="00911845"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 xml:space="preserve">Wang, M., Yang, H., Zheng, Z., Tian, L.,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Altitudinal climatic index changes in subtropical China indicated from branched glycerol dialkyl glycerol tetraethers proxies. Chemical Geology 541, 119579.</w:t>
      </w:r>
    </w:p>
    <w:p w:rsidR="00911845" w:rsidRPr="00341DF6" w:rsidRDefault="00911845"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lastRenderedPageBreak/>
        <w:t xml:space="preserve">Wang, Z., Chen, J., Liang, T., Yuan, J., Han, C., Liu, J., Zhu, C., Zhu, D., Han, Z.,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Spatial variation in carbonate carbon isotopes during the Cambrian SPICE event across the eastern North China Platform. Palaeogeography, Palaeoclimatology, Palaeoecology 546, 109669.</w:t>
      </w:r>
    </w:p>
    <w:p w:rsidR="00911845" w:rsidRPr="00341DF6" w:rsidRDefault="00911845"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Xiao, Q., She, Z., Wang, G., Li, Y., Ouyang, G., Cao, K., Mason, R., Du, Y., 2020. Terminal Ediacaran carbonate tempestites in the eastern Yangtze Gorges area, South China. Palaeogeography, Palaeoclimatology, Palaeoecology 547, 109681.</w:t>
      </w:r>
    </w:p>
    <w:p w:rsidR="00911845" w:rsidRPr="00341DF6" w:rsidRDefault="00911845"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Ye, Y., Shen, J., Feng, Q., Lash, G.G., 2020. Microbial and animal evolution in relation to redox fluctuations in a deep-water setting of South China during the Ediacaran-Cambrian transition (ca. 551–523 Ma). Palaeogeography, Palaeoclimatology, Palaeoecology 546, 109672.</w:t>
      </w:r>
    </w:p>
    <w:p w:rsidR="00911845" w:rsidRPr="00341DF6" w:rsidRDefault="00911845"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Yuan, Z., Liu, D., Masqué, P., Zhao, M., Song, X., Keesing, J.K., 2020. Phytoplankton responses to climate-induced warming and interdecadal oscillation in north-western Australia. Paleoceanography and Paleoclimatology 35, e2019PA003712.</w:t>
      </w:r>
    </w:p>
    <w:p w:rsidR="00C90188" w:rsidRPr="00341DF6" w:rsidRDefault="00C90188" w:rsidP="009A1C1B">
      <w:pPr>
        <w:pStyle w:val="EndNoteBibliography"/>
        <w:spacing w:after="120"/>
        <w:ind w:left="360" w:hanging="360"/>
        <w:rPr>
          <w:rFonts w:ascii="Times New Roman" w:hAnsi="Times New Roman" w:cs="Times New Roman"/>
          <w:sz w:val="24"/>
          <w:szCs w:val="24"/>
        </w:rPr>
      </w:pPr>
      <w:r w:rsidRPr="00341DF6">
        <w:rPr>
          <w:rFonts w:ascii="Times New Roman" w:hAnsi="Times New Roman" w:cs="Times New Roman"/>
          <w:sz w:val="24"/>
          <w:szCs w:val="24"/>
        </w:rPr>
        <w:t xml:space="preserve">Zhang, L., Chang, S., Khan, M.Z., Feng, Q., Luo, C., Steiner, M., Forel, M.-B., Liu, K., Clausen, S.,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Influence of palaeo-redox and diagenetic conditions on the spatial distribution of Cambrian biotas: A case study from the upper Shuijingtuo Formation (Cambrian Series 2, Stage 3), Three Gorges area of South China. Palaeogeography, Palaeoclimatology, Palaeoecology 548, 109696.</w:t>
      </w:r>
    </w:p>
    <w:p w:rsidR="007A0A9B" w:rsidRPr="006B7069" w:rsidRDefault="007A0A9B" w:rsidP="005765D4">
      <w:pPr>
        <w:pStyle w:val="EndNoteBibliography"/>
        <w:spacing w:after="240"/>
        <w:ind w:left="360" w:hanging="360"/>
        <w:rPr>
          <w:rFonts w:ascii="Times New Roman" w:hAnsi="Times New Roman" w:cs="Times New Roman"/>
          <w:sz w:val="24"/>
          <w:szCs w:val="24"/>
        </w:rPr>
      </w:pPr>
    </w:p>
    <w:p w:rsidR="001A3A58" w:rsidRDefault="001A3A58" w:rsidP="005765D4">
      <w:pPr>
        <w:pStyle w:val="Heading3"/>
        <w:spacing w:before="0" w:after="240"/>
        <w:ind w:left="720" w:hanging="360"/>
        <w:rPr>
          <w:rFonts w:ascii="Times New Roman" w:hAnsi="Times New Roman"/>
          <w:b/>
          <w:smallCaps/>
          <w:u w:val="single"/>
        </w:rPr>
      </w:pPr>
      <w:r>
        <w:rPr>
          <w:rFonts w:ascii="Times New Roman" w:hAnsi="Times New Roman"/>
          <w:b/>
          <w:smallCaps/>
          <w:u w:val="single"/>
        </w:rPr>
        <w:t>Extinction Events</w:t>
      </w:r>
    </w:p>
    <w:p w:rsidR="00BB53BD" w:rsidRPr="00341DF6" w:rsidRDefault="00BB53B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Artemieva, N., Morgan, J., 2020. Global K-Pg layer deposited from a dust cloud. Geophysical Research Letters 47, e2019GL086562.</w:t>
      </w:r>
    </w:p>
    <w:p w:rsidR="006A33BC" w:rsidRPr="00341DF6" w:rsidRDefault="006A33BC"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Feng, Z., Wei, H.-B., Guo, Y., He, X.-Y., Sui, Q., Zhou, Y., Liu, H.-Y., Gou, X.-D., Lv, Y.,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From rainforest to herbland: New insights into land plant responses to the end-Permian mass extinction. Earth-Science Reviews 204, 103153.</w:t>
      </w:r>
    </w:p>
    <w:p w:rsidR="006A33BC" w:rsidRPr="00341DF6" w:rsidRDefault="006A33BC"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Gastaldo, R.A., Kamo, S.L., Neveling, J., Geissman, J.W., Looy, C.V., Martini, A.M., 2020. The base of the </w:t>
      </w:r>
      <w:r w:rsidRPr="00341DF6">
        <w:rPr>
          <w:rFonts w:ascii="Times New Roman" w:hAnsi="Times New Roman" w:cs="Times New Roman"/>
          <w:i/>
          <w:sz w:val="24"/>
          <w:szCs w:val="24"/>
        </w:rPr>
        <w:t xml:space="preserve">Lystrosaurus </w:t>
      </w:r>
      <w:r w:rsidRPr="00341DF6">
        <w:rPr>
          <w:rFonts w:ascii="Times New Roman" w:hAnsi="Times New Roman" w:cs="Times New Roman"/>
          <w:sz w:val="24"/>
          <w:szCs w:val="24"/>
        </w:rPr>
        <w:t>Assemblage Zone, Karoo Basin, predates the end-Permian marine extinction. Nature Communications 11, 1428.</w:t>
      </w:r>
    </w:p>
    <w:p w:rsidR="00DF0DA9" w:rsidRPr="00341DF6" w:rsidRDefault="00DF0DA9"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Hesselbo, S.P., Korte, C., Ullmann, C.V., Ebbesen, A.L., 2020. Carbon and oxygen isotope records from the southern Eurasian Seaway following the Triassic-Jurassic boundary: Parallel long-term enhanced carbon burial and seawater warming. Earth-Science Reviews 203, 103131.</w:t>
      </w:r>
    </w:p>
    <w:p w:rsidR="00DF0DA9" w:rsidRPr="00341DF6" w:rsidRDefault="00DF0DA9"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Ikejiri, T., Lu, Y., Zhang, B., 2020. Two-step extinction of Late Cretaceous marine vertebrates in northern Gulf of Mexico prolonged biodiversity loss prior to the Chicxulub impact. Scientific Reports 10, 4169.</w:t>
      </w:r>
    </w:p>
    <w:p w:rsidR="00672046" w:rsidRPr="00341DF6" w:rsidRDefault="00672046"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Landwehrs, J.P., Feulner, G., Hofmann, M., Petri, S., 2020. Climatic fluctuations modeled for carbon and sulfur emissions from end-Triassic volcanism. Earth and Planetary Science Letters 537, 116174.</w:t>
      </w:r>
    </w:p>
    <w:p w:rsidR="0064405D" w:rsidRPr="00341DF6" w:rsidRDefault="0064405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Luo, M., Shi, G.R., Buatois, L.A., Chen, Z.-Q.,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Trace fossils as proxy for biotic recovery after the end-Permian mass extinction: A critical review. Earth-Science Reviews 203, 103059.</w:t>
      </w:r>
    </w:p>
    <w:p w:rsidR="00123F4A" w:rsidRPr="00341DF6" w:rsidRDefault="00123F4A"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lastRenderedPageBreak/>
        <w:t>Tabor, C.R., Bardeen, C.G., Otto-Bliesner, B.L., Garcia, R.R., Toon, O.B., 2020. Causes and climatic consequences of the impact winter at the Cretaceous-Paleogene boundary. Geophysical Research Letters 47, e60121.</w:t>
      </w:r>
    </w:p>
    <w:p w:rsidR="00911845" w:rsidRPr="00341DF6" w:rsidRDefault="00911845"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Vellekoop, J., Van Tilborgh, K.H., Van Knippenberg, P., Jagt, J.W.M., Stassen, P., Goolaerts, S., Speijer, R.P., 2020. Type-Maastrichtian gastropod faunas show rapid ecosystem recovery following the Cretaceous–Palaeogene boundary catastrophe. Palaeontology 63, 349-367.</w:t>
      </w:r>
    </w:p>
    <w:p w:rsidR="00911845" w:rsidRPr="00341DF6" w:rsidRDefault="00911845"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Yao, L., Aretz, M., Wignall, P.B., Chen, J., Vachard, D., Qi, Y., Shen, S., Wang, X., 2020. The longest delay: Re-emergence of coral reef ecosystems after the Late Devonian extinctions. Earth-Science Reviews 203, 103060.</w:t>
      </w:r>
    </w:p>
    <w:p w:rsidR="001A3A58" w:rsidRDefault="001A3A58" w:rsidP="008741AD">
      <w:pPr>
        <w:spacing w:before="0" w:after="240"/>
        <w:ind w:left="720" w:hanging="720"/>
      </w:pPr>
    </w:p>
    <w:p w:rsidR="009254E5" w:rsidRDefault="009254E5" w:rsidP="009254E5">
      <w:pPr>
        <w:pStyle w:val="H2"/>
        <w:spacing w:before="0" w:after="240"/>
        <w:ind w:left="720" w:hanging="720"/>
        <w:outlineLvl w:val="0"/>
      </w:pPr>
      <w:r>
        <w:t>Petroleum Systems</w:t>
      </w:r>
    </w:p>
    <w:p w:rsidR="009254E5" w:rsidRDefault="009254E5" w:rsidP="009254E5">
      <w:pPr>
        <w:pStyle w:val="Heading3"/>
        <w:spacing w:before="0" w:after="240"/>
        <w:ind w:left="720" w:hanging="360"/>
        <w:rPr>
          <w:rFonts w:ascii="Times New Roman" w:hAnsi="Times New Roman"/>
          <w:b/>
          <w:smallCaps/>
          <w:u w:val="single"/>
        </w:rPr>
      </w:pPr>
      <w:r>
        <w:rPr>
          <w:rFonts w:ascii="Times New Roman" w:hAnsi="Times New Roman"/>
          <w:b/>
          <w:smallCaps/>
          <w:u w:val="single"/>
        </w:rPr>
        <w:t>Exploration</w:t>
      </w:r>
    </w:p>
    <w:p w:rsidR="0017154A" w:rsidRPr="00341DF6" w:rsidRDefault="0017154A"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Abbasi, G., Motamedi, H., Orang, K., Nickandish, A.A., 2020. Petroleum geology of the western part of the Central Iran Basin. Journal of Petroleum Geology 43, 171-190.</w:t>
      </w:r>
    </w:p>
    <w:p w:rsidR="005C5B53" w:rsidRPr="00341DF6" w:rsidRDefault="006F4770" w:rsidP="00DB42FE">
      <w:pPr>
        <w:pStyle w:val="EndNoteBibliography"/>
        <w:spacing w:after="120"/>
        <w:ind w:left="720" w:hanging="360"/>
        <w:rPr>
          <w:rFonts w:ascii="Times New Roman" w:hAnsi="Times New Roman" w:cs="Times New Roman"/>
          <w:sz w:val="24"/>
          <w:szCs w:val="24"/>
        </w:rPr>
      </w:pPr>
      <w:r w:rsidRPr="006F4770">
        <w:rPr>
          <w:rFonts w:ascii="Times New Roman" w:hAnsi="Times New Roman" w:cs="Times New Roman"/>
          <w:sz w:val="24"/>
          <w:szCs w:val="24"/>
        </w:rPr>
        <w:t>Almeida, N.M.de, Alves, T.M., Nepomuceno Filho, F., Freire, G.S.S., Souza, A.C.B. de, Normando, M.N., Oliveira, K.M.L., Barbosa, T.H.deS., 2020.</w:t>
      </w:r>
      <w:r>
        <w:rPr>
          <w:rFonts w:ascii="Times New Roman" w:hAnsi="Times New Roman" w:cs="Times New Roman"/>
          <w:sz w:val="24"/>
          <w:szCs w:val="24"/>
        </w:rPr>
        <w:t xml:space="preserve"> </w:t>
      </w:r>
      <w:r w:rsidR="005C5B53" w:rsidRPr="00341DF6">
        <w:rPr>
          <w:rFonts w:ascii="Times New Roman" w:hAnsi="Times New Roman" w:cs="Times New Roman"/>
          <w:sz w:val="24"/>
          <w:szCs w:val="24"/>
        </w:rPr>
        <w:t>Tectono-sedimentary evolution and petroleum systems of the Mundaú subbasin: A new deep-water exploration frontier in equatorial Brazil. American Association of Petroleum Geologists Bulletin 104, 795-824.</w:t>
      </w:r>
    </w:p>
    <w:p w:rsidR="006A33BC" w:rsidRPr="00341DF6" w:rsidRDefault="006A33BC"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Feyzullayev, A.A., Lerche, I., 2020. Temperature-depth control of petroleum occurrence in the sedimentary section of the South Caspian basin. Petroleum Research 5, 70-76.</w:t>
      </w:r>
    </w:p>
    <w:p w:rsidR="006A33BC" w:rsidRPr="00341DF6" w:rsidRDefault="006A33BC"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Fu, J., Chen, C., Li, M., Zhang, Z., Long, Z., Wang, T., Lu, X.,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Petroleum charging history of Neogene reservoir in the Baiyun Sag, Pearl River Mouth Basin, South China sea. Journal of Petroleum Science and Engineering 190, 106945.</w:t>
      </w:r>
    </w:p>
    <w:p w:rsidR="004F1E0C" w:rsidRPr="00341DF6" w:rsidRDefault="004F1E0C"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Goodwin, N.R.J., Abdullayev, N., Javadova, A., Volk, H., Riley, G., 2020. Diamondoids and basin modelling reveal one of the world's deepest petroleum systems, South Caspian Basin, Azerbaijan. Journal of Petroleum Geology 43, 133-149.</w:t>
      </w:r>
    </w:p>
    <w:p w:rsidR="00123F4A" w:rsidRPr="00341DF6" w:rsidRDefault="00123F4A"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Tian, J., Li, J., Zeng, X., Kong, H., Sha, W., Guo, Z., Zhang, J., Fu, Y.,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Discovery and accumulation model of oil cracking gas reservoirs in Dongping area, Qaidam Basin. Acta Petrolei Sinica 41, 154-162.</w:t>
      </w:r>
    </w:p>
    <w:p w:rsidR="00123F4A" w:rsidRPr="00341DF6" w:rsidRDefault="00123F4A"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Vasileva, K.Y., Ershova, V.B., Khudoley, A.K., Khusnitdinov, R.R., Kuznetsov, A.B., Prokofiev, V.Y., Bekker, A., 2020. Diagenetic history of the Proterozoic carbonates and its role in the oil field development in the Baikit Anteclise, Southwestern Siberia. Precambrian Research 342, 105690.</w:t>
      </w:r>
    </w:p>
    <w:p w:rsidR="00C90188" w:rsidRPr="00341DF6" w:rsidRDefault="00C90188"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Zhang, C., Song, X., Zhi, D., Zhou, X., Yin, T., Yin, Y., Zhu, R., Feng, W., Zhang, B.,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 xml:space="preserve">Rethinking on the sedimentary system of terrestrial petroliferous basins: insights from distributive fluvial system  Acta Petrolei Sinica 41, 127-153 </w:t>
      </w:r>
    </w:p>
    <w:p w:rsidR="009254E5" w:rsidRDefault="009254E5" w:rsidP="009254E5"/>
    <w:p w:rsidR="009254E5" w:rsidRDefault="009254E5" w:rsidP="009254E5">
      <w:pPr>
        <w:pStyle w:val="Heading3"/>
        <w:spacing w:before="0" w:after="240"/>
        <w:ind w:left="720" w:hanging="360"/>
        <w:rPr>
          <w:rFonts w:ascii="Times New Roman" w:hAnsi="Times New Roman"/>
          <w:b/>
          <w:smallCaps/>
          <w:u w:val="single"/>
        </w:rPr>
      </w:pPr>
      <w:r>
        <w:rPr>
          <w:rFonts w:ascii="Times New Roman" w:hAnsi="Times New Roman"/>
          <w:b/>
          <w:smallCaps/>
          <w:u w:val="single"/>
        </w:rPr>
        <w:lastRenderedPageBreak/>
        <w:t>Generation &amp; Expulsion</w:t>
      </w:r>
    </w:p>
    <w:p w:rsidR="00BB53BD" w:rsidRPr="00341DF6" w:rsidRDefault="00BB53B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Bai, F., Liu, Y., Lai, C., Sun, Y., Wang, J., Sun, P., Xue, L., Zhao, J., Guo, M.,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Thermal degradations and processes of four kerogens via thermogravimetric–</w:t>
      </w:r>
      <w:r w:rsidR="00A71E84">
        <w:rPr>
          <w:rFonts w:ascii="Times New Roman" w:hAnsi="Times New Roman" w:cs="Times New Roman"/>
          <w:sz w:val="24"/>
          <w:szCs w:val="24"/>
        </w:rPr>
        <w:t>F</w:t>
      </w:r>
      <w:r w:rsidRPr="00341DF6">
        <w:rPr>
          <w:rFonts w:ascii="Times New Roman" w:hAnsi="Times New Roman" w:cs="Times New Roman"/>
          <w:sz w:val="24"/>
          <w:szCs w:val="24"/>
        </w:rPr>
        <w:t>ourier-transform infrared: Pyrolysis performances, products, and kinetics. Energy &amp; Fuels 34, 2969-2979.</w:t>
      </w:r>
    </w:p>
    <w:p w:rsidR="005C5B53" w:rsidRPr="00341DF6" w:rsidRDefault="005C5B53"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Cassady, S.J., Choudhary, R., Pinkowski, N.H., Shao, J., Davidson, D.F., Hanson, R.K., 2020. The thermal decomposition of ethane. Fuel 268, 117409.</w:t>
      </w:r>
    </w:p>
    <w:p w:rsidR="005C5B53" w:rsidRPr="00341DF6" w:rsidRDefault="005C5B53"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Chen, Z., Lavoie, D., Mort, A., Jiang, C., Zhang, S., Liu, X., Reyes, J., Armstrong, D.,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Source rock kinetics and petroleum generation history of the Upper Ordovician calcareous shales of the Hudson Bay Basin and surrounding areas. Fuel 270, 117503.</w:t>
      </w:r>
    </w:p>
    <w:p w:rsidR="00DF0DA9" w:rsidRPr="00341DF6" w:rsidRDefault="00DF0DA9"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Hou, L., Ma, W., Luo, X., Tao, S., Guan, P., Liu, J.,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 xml:space="preserve">Chemical structure changes of lacustrine Type-II kerogen under semi-open pyrolysis as investigated by solid-state </w:t>
      </w:r>
      <w:r w:rsidRPr="00341DF6">
        <w:rPr>
          <w:rFonts w:ascii="Times New Roman" w:hAnsi="Times New Roman" w:cs="Times New Roman"/>
          <w:sz w:val="24"/>
          <w:szCs w:val="24"/>
          <w:vertAlign w:val="superscript"/>
        </w:rPr>
        <w:t>13</w:t>
      </w:r>
      <w:r w:rsidRPr="00341DF6">
        <w:rPr>
          <w:rFonts w:ascii="Times New Roman" w:hAnsi="Times New Roman" w:cs="Times New Roman"/>
          <w:sz w:val="24"/>
          <w:szCs w:val="24"/>
        </w:rPr>
        <w:t>C NMR and FT-IR spectroscopy. Marine and Petroleum Geology 116, 104348.</w:t>
      </w:r>
    </w:p>
    <w:p w:rsidR="00672046" w:rsidRPr="00341DF6" w:rsidRDefault="00672046"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Lee, H., Abarghani, A., Liu, B., Shokouhimehr, M., Ostadhassan, M.,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Molecular weight variations of kerogen during maturation with MALDI-TOF-MS. Fuel 269, 117452.</w:t>
      </w:r>
    </w:p>
    <w:p w:rsidR="0064405D" w:rsidRPr="00341DF6" w:rsidRDefault="0064405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Lian, W., Wang, J., Wang, G., Gao, D., Li, X., Zhang, Z., Huang, W., Hao, X., Hou, B., 2020. Investigation on the lignite pyrolysis reaction kinetics based on the general Arrhenius formula. Fuel 268, 117364.</w:t>
      </w:r>
    </w:p>
    <w:p w:rsidR="0064405D" w:rsidRPr="00341DF6" w:rsidRDefault="0064405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Lin, R., Chen, K., Miao, M., Zhang, L., Wang, X., Jiang, Y., Zhang, J., Wang, Y., Pan, H.,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Reaction mechanism of H</w:t>
      </w:r>
      <w:r w:rsidRPr="00341DF6">
        <w:rPr>
          <w:rFonts w:ascii="Times New Roman" w:hAnsi="Times New Roman" w:cs="Times New Roman"/>
          <w:sz w:val="24"/>
          <w:szCs w:val="24"/>
          <w:vertAlign w:val="subscript"/>
        </w:rPr>
        <w:t>2</w:t>
      </w:r>
      <w:r w:rsidRPr="00341DF6">
        <w:rPr>
          <w:rFonts w:ascii="Times New Roman" w:hAnsi="Times New Roman" w:cs="Times New Roman"/>
          <w:sz w:val="24"/>
          <w:szCs w:val="24"/>
        </w:rPr>
        <w:t>S generation during tetrahydrothiophene aquathermolysis reaction. Energy &amp; Fuels 34, 2781-2789.</w:t>
      </w:r>
    </w:p>
    <w:p w:rsidR="00F407FD" w:rsidRPr="0032333B" w:rsidRDefault="00F407FD" w:rsidP="00DB42FE">
      <w:pPr>
        <w:pStyle w:val="EndNoteBibliography"/>
        <w:spacing w:after="120"/>
        <w:ind w:left="720" w:hanging="360"/>
        <w:rPr>
          <w:rFonts w:ascii="Times New Roman" w:hAnsi="Times New Roman" w:cs="Times New Roman"/>
          <w:sz w:val="24"/>
          <w:szCs w:val="24"/>
        </w:rPr>
      </w:pPr>
      <w:r w:rsidRPr="0032333B">
        <w:rPr>
          <w:rFonts w:ascii="Times New Roman" w:hAnsi="Times New Roman" w:cs="Times New Roman"/>
          <w:sz w:val="24"/>
          <w:szCs w:val="24"/>
        </w:rPr>
        <w:t>Reeves, E.P., Fiebig, J., 2020. Abiotic synthesis of methane and organic compounds in Earth’s lithosphere. Elements 16, 25-31.</w:t>
      </w:r>
    </w:p>
    <w:p w:rsidR="005D79ED" w:rsidRPr="00341DF6" w:rsidRDefault="005D79E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Serovaiskii, A., Kutcherov, V., 2020. Formation of complex hydrocarbon systems from methane at the upper mantle thermobaric conditions. Scientific Reports 10, 4559.</w:t>
      </w:r>
    </w:p>
    <w:p w:rsidR="009254E5" w:rsidRDefault="009254E5" w:rsidP="00DB42FE">
      <w:pPr>
        <w:widowControl/>
        <w:spacing w:before="0" w:after="120"/>
        <w:ind w:left="720" w:hanging="360"/>
      </w:pPr>
    </w:p>
    <w:p w:rsidR="009254E5" w:rsidRDefault="009254E5" w:rsidP="00DB42FE">
      <w:pPr>
        <w:pStyle w:val="Heading3"/>
        <w:keepNext w:val="0"/>
        <w:widowControl/>
        <w:spacing w:before="0" w:after="120"/>
        <w:ind w:left="720" w:hanging="360"/>
        <w:rPr>
          <w:rFonts w:ascii="Times New Roman" w:hAnsi="Times New Roman"/>
          <w:b/>
          <w:smallCaps/>
          <w:u w:val="single"/>
        </w:rPr>
      </w:pPr>
      <w:r>
        <w:rPr>
          <w:rFonts w:ascii="Times New Roman" w:hAnsi="Times New Roman"/>
          <w:b/>
          <w:smallCaps/>
          <w:u w:val="single"/>
        </w:rPr>
        <w:t>Oil &amp; Gas</w:t>
      </w:r>
    </w:p>
    <w:p w:rsidR="00F55A9D" w:rsidRPr="00341DF6" w:rsidRDefault="00F55A9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Bhosale, S., Manigiri, R., Choudhury, R.P., Bhakthavatsalam, V., 2020. High resolution mass spectrometry and principal component analysis for an exhaustive understanding of acidic species composition in vacuum gas oil samples. Energy &amp; Fuels 34, 2800-2806.</w:t>
      </w:r>
    </w:p>
    <w:p w:rsidR="006A33BC" w:rsidRPr="00341DF6" w:rsidRDefault="006A33BC"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Duan, W., Li, C.-F., Chen, X.-G., Luo, C.-F., Tuo, L., Liu, J.-Z., 2020. Diagenetic differences caused by gas charging with different compositions in the XF13 block of the Yinggehai Basin, South China Sea. American Association of Petroleum Geologists Bulletin 104, 735-765.</w:t>
      </w:r>
    </w:p>
    <w:p w:rsidR="004F1E0C" w:rsidRPr="00341DF6" w:rsidRDefault="004F1E0C"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Han, W.-x., Chang, X.-c., Tao, S.-z., Yang, W.-w., Yao, J.-l.,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Anomalies and genetic mechanism of ethane carbon isotope in the Ordovician carbonate reservoirs in the Jingbian gas field, Ordos Basin, China. Carbonates and Evaporites 35, 21.</w:t>
      </w:r>
    </w:p>
    <w:p w:rsidR="00DF0DA9" w:rsidRPr="00341DF6" w:rsidRDefault="00DF0DA9"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lastRenderedPageBreak/>
        <w:t xml:space="preserve">Huang, Y., Tarantola, A., Lu, W., Caumon, M.-C., He, S., Zhuang, X., Yan, D., Pironon, J., Wang, W.,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CH</w:t>
      </w:r>
      <w:r w:rsidRPr="00341DF6">
        <w:rPr>
          <w:rFonts w:ascii="Times New Roman" w:hAnsi="Times New Roman" w:cs="Times New Roman"/>
          <w:sz w:val="24"/>
          <w:szCs w:val="24"/>
          <w:vertAlign w:val="subscript"/>
        </w:rPr>
        <w:t>4</w:t>
      </w:r>
      <w:r w:rsidRPr="00341DF6">
        <w:rPr>
          <w:rFonts w:ascii="Times New Roman" w:hAnsi="Times New Roman" w:cs="Times New Roman"/>
          <w:sz w:val="24"/>
          <w:szCs w:val="24"/>
        </w:rPr>
        <w:t xml:space="preserve"> accumulation characteristics and relationship with deep CO</w:t>
      </w:r>
      <w:r w:rsidRPr="00341DF6">
        <w:rPr>
          <w:rFonts w:ascii="Times New Roman" w:hAnsi="Times New Roman" w:cs="Times New Roman"/>
          <w:sz w:val="24"/>
          <w:szCs w:val="24"/>
          <w:vertAlign w:val="subscript"/>
        </w:rPr>
        <w:t>2</w:t>
      </w:r>
      <w:r w:rsidRPr="00341DF6">
        <w:rPr>
          <w:rFonts w:ascii="Times New Roman" w:hAnsi="Times New Roman" w:cs="Times New Roman"/>
          <w:sz w:val="24"/>
          <w:szCs w:val="24"/>
        </w:rPr>
        <w:t xml:space="preserve"> fluid in Lishui sag, East China Sea Basin. Applied Geochemistry 115, 104563.</w:t>
      </w:r>
    </w:p>
    <w:p w:rsidR="00DF0DA9" w:rsidRPr="00341DF6" w:rsidRDefault="00DF0DA9"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Hurtig, N.C., Georgiev, S.V., Zimmerman, A., Yang, G., Goswami, V., Hannah, J.L., Stein, H.J., 2020. Re-Os geochronology for the NIST RM 8505 crude oil: The importance of analytical protocol and uncertainty. Chemical Geology 539, 119381.</w:t>
      </w:r>
    </w:p>
    <w:p w:rsidR="00BE7B53" w:rsidRPr="00341DF6" w:rsidRDefault="00BE7B53"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Jiang, W., Imin, A., Wang, X., Wang, T., Guo, W.,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Geochemical characterization and quantitative identification of mixed-source oils from the Baikouquan and Lower Wuerhe Formations in the eastern slope of the Mahu Sag, Junggar Basin, NW China. Journal of Petroleum Science and Engineering 191, 107175.</w:t>
      </w:r>
    </w:p>
    <w:p w:rsidR="00672046" w:rsidRPr="00341DF6" w:rsidRDefault="00672046"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Julien, M., Goldman, M.J., Liu, C., Horita, J., Boreham, C.J., Yamada, K., Green, W.H., Yoshida, N., Gilbert, A., 2020. Intramolecular </w:t>
      </w:r>
      <w:r w:rsidRPr="00341DF6">
        <w:rPr>
          <w:rFonts w:ascii="Times New Roman" w:hAnsi="Times New Roman" w:cs="Times New Roman"/>
          <w:sz w:val="24"/>
          <w:szCs w:val="24"/>
          <w:vertAlign w:val="superscript"/>
        </w:rPr>
        <w:t>13</w:t>
      </w:r>
      <w:r w:rsidRPr="00341DF6">
        <w:rPr>
          <w:rFonts w:ascii="Times New Roman" w:hAnsi="Times New Roman" w:cs="Times New Roman"/>
          <w:sz w:val="24"/>
          <w:szCs w:val="24"/>
        </w:rPr>
        <w:t>C isotope distributions of butane from natural gases. Chemical Geology 541, 119571.</w:t>
      </w:r>
    </w:p>
    <w:p w:rsidR="0064405D" w:rsidRPr="00341DF6" w:rsidRDefault="0064405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Liu, S., Tan, F., Huo, T., Tang, S., Zhao, W., Chao, H.,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Origin of the hydrate bound gases in the Juhugeng Sag, Muli Basin, Tibetan Plateau. International Journal of Coal Science &amp; Technology 7, 43-57.</w:t>
      </w:r>
    </w:p>
    <w:p w:rsidR="00BC6CFF" w:rsidRPr="00341DF6" w:rsidRDefault="00BC6CFF"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Shahebrahimi, Y., Fazlali, A., Motamedi, H., Kord, S., Mohammadi, A.H., 2020. Effect of various isolated microbial consortiums on the biodegradation process of precipitated asphaltenes from crude oil. ACS Omega 5, 3131-3143.</w:t>
      </w:r>
    </w:p>
    <w:p w:rsidR="00123F4A" w:rsidRPr="00341DF6" w:rsidRDefault="00123F4A"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Strąpoć, D., Jacquet, B., Torres, O., Khan, S., Villegas, E.I., Albrecht, H., Okoh, B., McKinney, D., 2020. Deep biogenic methane and drilling-associated gas artifacts: Influence on gas-based characterization of petroleum fluids. American Association of Petroleum Geologists Bulletin 104, 887-912.</w:t>
      </w:r>
    </w:p>
    <w:p w:rsidR="00123F4A" w:rsidRPr="00341DF6" w:rsidRDefault="00123F4A"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Thiagarajan, N., Kitchen, N., Xie, H., Ponton, C., Lawson, M., Formolo, M., Eiler, J., 2020. Identifying thermogenic and microbial methane in deep water Gulf of Mexico reservoirs. Geochimica et Cosmochimica Acta 275, 188-208.</w:t>
      </w:r>
    </w:p>
    <w:p w:rsidR="00911845" w:rsidRPr="00341DF6" w:rsidRDefault="00911845"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Wu, J., Zhang, W., Ma, C., Ren, L., Li, S., Zhang, Y., Shi, Q.,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Separation and characterization of squalene and carotenoids derived sulfides in a low mature crude oil. Fuel 270, 117536.</w:t>
      </w:r>
    </w:p>
    <w:p w:rsidR="00C90188" w:rsidRPr="00341DF6" w:rsidRDefault="00C90188"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Zhan, Z.-W., Lin, X.-H., Zou, Y.-R., Li, Z., Peng, P.a., 2020. Chemometric identification of crude oil families and deconvolution of mixtures in the surrounding Niuzhuang sag, Bohai Bay Basin, China. American Association of Petroleum Geologists Bulletin 104, 863-885.</w:t>
      </w:r>
    </w:p>
    <w:p w:rsidR="00C90188" w:rsidRPr="00341DF6" w:rsidRDefault="00C90188"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Zhang, Z., Zhu, G., Chi, L., Wang, P., Zhou, L., Li, J., Wu, Z.,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Discovery of the high-yield well GT1 in the deep strata of the southern margin of the Junggar Basin, China: Implications for liquid petroleum potential in deep assemblage. Journal of Petroleum Science and Engineering 191, 107178.</w:t>
      </w:r>
    </w:p>
    <w:p w:rsidR="00C90188" w:rsidRPr="00341DF6" w:rsidRDefault="00C90188"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Zhu, G., Li, J., Chi, L., Zhang, Z., Li, T., Zhou, L., Wu, Z.,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The influence of gas invasion on the composition of crude oil and the controlling factors for the reservoir fluid phase. Energy &amp; Fuels 34, 2710-2725.</w:t>
      </w:r>
    </w:p>
    <w:p w:rsidR="009254E5" w:rsidRDefault="009254E5" w:rsidP="00DB42FE">
      <w:pPr>
        <w:widowControl/>
        <w:spacing w:before="0" w:after="120"/>
        <w:ind w:left="720" w:hanging="360"/>
      </w:pPr>
    </w:p>
    <w:p w:rsidR="009254E5" w:rsidRDefault="009254E5" w:rsidP="00DB42FE">
      <w:pPr>
        <w:pStyle w:val="Heading3"/>
        <w:keepNext w:val="0"/>
        <w:widowControl/>
        <w:spacing w:before="0" w:after="120"/>
        <w:ind w:left="720" w:hanging="360"/>
        <w:rPr>
          <w:rFonts w:ascii="Times New Roman" w:hAnsi="Times New Roman"/>
          <w:b/>
          <w:smallCaps/>
          <w:u w:val="single"/>
        </w:rPr>
      </w:pPr>
      <w:r>
        <w:rPr>
          <w:rFonts w:ascii="Times New Roman" w:hAnsi="Times New Roman"/>
          <w:b/>
          <w:smallCaps/>
          <w:u w:val="single"/>
        </w:rPr>
        <w:lastRenderedPageBreak/>
        <w:t>Source Rocks</w:t>
      </w:r>
    </w:p>
    <w:p w:rsidR="0017154A" w:rsidRPr="00341DF6" w:rsidRDefault="0017154A"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Adeboye, O.O., Riedinger, N., Wu, T., Grammer, G.M., Quan, T.M., 2020. Redox conditions on the Anadarko Shelf of Oklahoma during the deposition of the “Mississippian Limestone”. Marine and Petroleum Geology 116, 104345.</w:t>
      </w:r>
    </w:p>
    <w:p w:rsidR="00BB53BD" w:rsidRPr="00341DF6" w:rsidRDefault="00BB53B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Bastos, L.P.H., Pereira, E., da Costa Cavalcante, D., Ferreira Alferes, C.L., Jorge de Menezes, C., Rodrigues, R., 2020. Expression of Early Cretaceous global anoxic events in northeastern Brazilian basins. Cretaceous Research 110, 104390.</w:t>
      </w:r>
    </w:p>
    <w:p w:rsidR="0032333B" w:rsidRPr="00341DF6" w:rsidRDefault="0032333B"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Bellanova, P., Frenken, M., Richmond, B., Schwarzbauer, J., La Selle, S., Griswold, F., Jaffe, B., Nelson, A., Reicherter, K., 2020. Organic geochemical investigation of far-field tsunami deposits of the Kahana Valley, O‘ahu, Hawai‘i. Sedimentology 67, 1230-1248.</w:t>
      </w:r>
    </w:p>
    <w:p w:rsidR="00F55A9D" w:rsidRPr="00341DF6" w:rsidRDefault="00F55A9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Beti, D.R., Jiang, C., Panja, P., Ring, T.A., Levey, R.,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Hydrocarbon distributions of incremental S1 peaks corresponding to different boiling point ranges of petroleum in rock samples. Journal of Petroleum Science and Engineering 191, 107174.</w:t>
      </w:r>
    </w:p>
    <w:p w:rsidR="00F55A9D" w:rsidRPr="00341DF6" w:rsidRDefault="00F55A9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Beti, D.R., Panja, P., Jiang, C., Milovic, M., Robinson, R., Ring, T.A., Levey, R.,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Change in hydrocarbon composition in rock samples as a function of time: A thermodynamic evaporation model. Journal of Natural Gas Science and Engineering 77, 103238.</w:t>
      </w:r>
    </w:p>
    <w:p w:rsidR="005C5B53" w:rsidRPr="00341DF6" w:rsidRDefault="005C5B53"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Caro González, L.D., Filho, J.G.M., Mastalerz, M., 2020. Depositional environment and maturity of Devonian Pimenteira Formation in the São Luís Basin, Brazil. International Journal of Coal Geology 221, 103429.</w:t>
      </w:r>
    </w:p>
    <w:p w:rsidR="005C5B53" w:rsidRPr="00341DF6" w:rsidRDefault="005C5B53"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Chen, J., Chen, J., Shi, S., Yao, L., Chen, J., Khan, I., Zhang, C.,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The linkage of nitrogen isotopic composition and depositional environment of black mudstones in the Upper Triassic Yanchang Formation, Ordos Basin, northern China. Journal of Asian Earth Sciences 193, 104308.</w:t>
      </w:r>
    </w:p>
    <w:p w:rsidR="005C5B53" w:rsidRPr="00341DF6" w:rsidRDefault="005C5B53"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Chen, Z., Liu, X., Yang, J., Little, E., Zhou, Y.,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Deep learning-based method for SEM image segmentation in mineral characterization, an example from Duvernay Shale samples in Western Canada Sedimentary Basin. Computers &amp; Geosciences 138, 104450.</w:t>
      </w:r>
    </w:p>
    <w:p w:rsidR="006A33BC" w:rsidRPr="00341DF6" w:rsidRDefault="006A33BC"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Dummann, W., Steinig, S., Hofmann, P., Lenz, M., Kusch, S., Flögel, S., Herrle, J.O., Hallmann, C., Rethemeyer, J., Kasper, H.U., Wagner, T., 2020. Driving mechanisms of organic carbon burial in the Early Cretaceous South Atlantic Cape Basin (DSDP Site 361). Climate of the Past Discussions 2020, 1-30.</w:t>
      </w:r>
    </w:p>
    <w:p w:rsidR="006A33BC" w:rsidRPr="00341DF6" w:rsidRDefault="006A33BC"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Faisal, H.M.N., Katti, K.S., Katti, D.R., 2020. Modeling the behavior of organic kerogen in the proximity of calcite mineral by molecular dynamics simulations. Energy &amp; Fuels 34, 2849-2860.</w:t>
      </w:r>
    </w:p>
    <w:p w:rsidR="006A33BC" w:rsidRPr="00341DF6" w:rsidRDefault="006A33BC"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Feng, C., Li, T., He, W., Zheng, M.,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Organic geochemical traits and paleo-depositional conditions of source rocks from the Carboniferous to Permian sediments of the northern Mahu Sag, Junggar Basin, China. Journal of Petroleum Science and Engineering 191, 107117.</w:t>
      </w:r>
    </w:p>
    <w:p w:rsidR="00DF0DA9" w:rsidRPr="00341DF6" w:rsidRDefault="00DF0DA9"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Hou, M., Zha, M., Ding, X., Imin, A., Lai, R., Pan, S., Ding, Y.,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A prediction model of vitrinite reflectance for suppression of organic-matter maturation by overpressure. The Journal of Geology 128, 189-200.</w:t>
      </w:r>
    </w:p>
    <w:p w:rsidR="00DF0DA9" w:rsidRPr="00341DF6" w:rsidRDefault="00DF0DA9"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lastRenderedPageBreak/>
        <w:t xml:space="preserve">Huang, L., Khoshnood, A., Firoozabadi, A.,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Swelling of Kimmeridge kerogen by normal-alkanes, naphthenes and aromatics. Fuel 267, 117155.</w:t>
      </w:r>
    </w:p>
    <w:p w:rsidR="00BE7B53" w:rsidRPr="00341DF6" w:rsidRDefault="00BE7B53"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Jimoh, A.Y., Ojo, O.J., Akande, S.O., 2020. Organic petrography, Rock–Eval pyrolysis and biomarker geochemistry of Maastrichtian Gombe Formation, Gongola Basin, Nigeria. Journal of Petroleum Exploration and Production Technology 10, 327-350.</w:t>
      </w:r>
    </w:p>
    <w:p w:rsidR="00F963EF" w:rsidRPr="00404980" w:rsidRDefault="00F963EF" w:rsidP="00DB42FE">
      <w:pPr>
        <w:pStyle w:val="EndNoteBibliography"/>
        <w:spacing w:after="120"/>
        <w:ind w:left="720" w:hanging="360"/>
        <w:rPr>
          <w:rFonts w:ascii="Times New Roman" w:hAnsi="Times New Roman" w:cs="Times New Roman"/>
          <w:sz w:val="24"/>
          <w:szCs w:val="24"/>
        </w:rPr>
      </w:pPr>
      <w:r w:rsidRPr="00404980">
        <w:rPr>
          <w:rFonts w:ascii="Times New Roman" w:hAnsi="Times New Roman" w:cs="Times New Roman"/>
          <w:sz w:val="24"/>
          <w:szCs w:val="24"/>
        </w:rPr>
        <w:t>Jin, S., Deng, H., Zhu, X., Liu, Y., Liu, S., Fu, M., 2020. Orbital control on cyclical organic matter accumulation in Early Silurian Longmaxi Formation shales. Geoscience Frontiers 11, 533-545.</w:t>
      </w:r>
    </w:p>
    <w:p w:rsidR="00672046" w:rsidRPr="00341DF6" w:rsidRDefault="00672046"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LaGrange, M.T., Konhauser, K.O., Catuneanu, O., Harris, B.S., Playter, T.L., Gingras, M.K., 2020. Sequence stratigraphy in organic-rich marine mudstone successions using chemostratigraphic datasets. Earth-Science Reviews 203, 103137.</w:t>
      </w:r>
    </w:p>
    <w:p w:rsidR="00672046" w:rsidRPr="00341DF6" w:rsidRDefault="00672046"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Lan, F., Qin, Y., Wang, A., Li, M., Wang, G., 2020. The origin of high and variable concentrations of heavy hydrocarbon gases in coal from the Enhong syncline of Yunnan, China. Journal of Natural Gas Science and Engineering 76, 103217.</w:t>
      </w:r>
    </w:p>
    <w:p w:rsidR="00672046" w:rsidRPr="00341DF6" w:rsidRDefault="00672046"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Lee, H., Abarghani, A., Liu, B., Shokouhimehr, M., Ostadhassan, M.,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Molecular weight variations of kerogen during maturation with MALDI-TOF-MS. Fuel 269, 117452.</w:t>
      </w:r>
    </w:p>
    <w:p w:rsidR="0064405D" w:rsidRPr="00341DF6" w:rsidRDefault="0064405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Li, W., Cao, J., Shi, C., Xu, T., Zhang, H., Zhang, Y.,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Shale oil in saline lacustrine systems: A perspective of complex lithologies of fine-grained rocks. Marine and Petroleum Geology 116, 104351.</w:t>
      </w:r>
    </w:p>
    <w:p w:rsidR="0064405D" w:rsidRPr="00341DF6" w:rsidRDefault="0064405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Liu, B., Teng, J., Mastalerz, M., Schieber, J.,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Assessing the thermal maturity of black shales using vitrinite reflectance: Insights from Devonian black shales in the eastern United States. International Journal of Coal Geology 220, 103426.</w:t>
      </w:r>
    </w:p>
    <w:p w:rsidR="0064405D" w:rsidRPr="00341DF6" w:rsidRDefault="0064405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Liu, J.L., Zhang, J.C., Li, Z., Chang, M.H., Wang, S., Chen, L., Yu, H.C.,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Gas-generation potential of shales in small and medium-sized basins: a case study from the Xuanhua Basin, north China. Australian Journal of Earth Sciences 67, 411-424.</w:t>
      </w:r>
    </w:p>
    <w:p w:rsidR="00F407FD" w:rsidRPr="00341DF6" w:rsidRDefault="00F407F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Qiao, J., Qin, Y., Ning, S., Du, F., 2020. Early Carboniferous black mudstones in the Nujiang Suture Zone in northeast Tibet: implication on paleoenvironment. Arabian Journal of Geosciences 13, 279.</w:t>
      </w:r>
    </w:p>
    <w:p w:rsidR="00BC6CFF" w:rsidRPr="00341DF6" w:rsidRDefault="00BC6CFF"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Simoneit, B.R.T., Oros, D.R., Karwowski, Ł., Szendera, Ł., Smolarek-Lach, J., Goryl, M., Bucha, M., Rybicki, M., Marynowski, L., 2020. Terpenoid biomarkers of ambers from Miocene tropical paleoenvironments in Borneo and of their potential extant plant sources. International Journal of Coal Geology 221, 103430.</w:t>
      </w:r>
    </w:p>
    <w:p w:rsidR="00BC6CFF" w:rsidRPr="00341DF6" w:rsidRDefault="00BC6CFF"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Smirnov, M.B., Fadeeva, N.P., Poludetkina, E.N., 2020. Distribution of anoxic conditions in the photic layer of sedimentation basin during formation of organic matter in the Domanik sediments of the northern and central areas of the Volga–Urals petroleum basin. Geochemistry International 58, 321-331.</w:t>
      </w:r>
    </w:p>
    <w:p w:rsidR="00BC6CFF" w:rsidRPr="00341DF6" w:rsidRDefault="00BC6CFF"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Song, Y., Chen, D., Guo, C., Zhou, X.,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 xml:space="preserve">Depositional characteristics of microbial carbonates from the Lower Xiaoerbulak Formation in the Xiaoerbulake section, Tarim Basin. Acta Sedimentologica Sinica 38, 55-63 </w:t>
      </w:r>
    </w:p>
    <w:p w:rsidR="00123F4A" w:rsidRPr="00341DF6" w:rsidRDefault="00123F4A"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lastRenderedPageBreak/>
        <w:t>Teece, B.L., George, S.C., Djokic, T., Campbell, K.A., Ruff, S.W., Van Kranendonk, M.J., 2020. Biomolecules from fossilized hot spring sinters: Implications for the search for life on Mars. Astrobiology 20, 537-551.</w:t>
      </w:r>
    </w:p>
    <w:p w:rsidR="00123F4A" w:rsidRPr="00341DF6" w:rsidRDefault="00123F4A"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Vafaie, A., Rahimzadeh Kivi, I., 2020. An investigation on the effect of thermal maturity and rock composition on the mechanical behavior of carbonaceous shale formations. Marine and Petroleum Geology 116, 104315.</w:t>
      </w:r>
    </w:p>
    <w:p w:rsidR="00911845" w:rsidRPr="00341DF6" w:rsidRDefault="00911845"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Wang, X., Jin, Z., Zhao, J., Zhu, Y., Hu, Z., Liu, G., Jiang, T., Wang, H., Li, S., Shi, S.,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Depositional environment and organic matter accumulation of Lower Jurassic nonmarine fine-grained deposits in the Yuanba Area, Sichuan Basin, SW China. Marine and Petroleum Geology 116, 104352.</w:t>
      </w:r>
    </w:p>
    <w:p w:rsidR="00911845" w:rsidRPr="00341DF6" w:rsidRDefault="00911845"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Zeng, S.Q., Wang, J., Chen, W.B., Song, C.Y., Zeng, Y.H., Feng, X.L., Wang, D.,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Organic-rich shales in the Upper Triassic Zangxiahe Formation, northern Qiangtang depression, northern Tibet: Depositional environment and hydrocarbon generation potential. Journal of Petroleum Geology 43, 151-169.</w:t>
      </w:r>
    </w:p>
    <w:p w:rsidR="009254E5" w:rsidRDefault="009254E5" w:rsidP="00DB42FE">
      <w:pPr>
        <w:widowControl/>
        <w:spacing w:before="0" w:after="120"/>
        <w:ind w:left="720" w:hanging="360"/>
      </w:pPr>
    </w:p>
    <w:p w:rsidR="009254E5" w:rsidRDefault="009254E5" w:rsidP="00DB42FE">
      <w:pPr>
        <w:pStyle w:val="Heading3"/>
        <w:keepNext w:val="0"/>
        <w:widowControl/>
        <w:spacing w:before="0" w:after="120"/>
        <w:ind w:left="720" w:hanging="360"/>
        <w:rPr>
          <w:rFonts w:ascii="Times New Roman" w:hAnsi="Times New Roman"/>
          <w:b/>
          <w:smallCaps/>
          <w:u w:val="single"/>
        </w:rPr>
      </w:pPr>
      <w:r>
        <w:rPr>
          <w:rFonts w:ascii="Times New Roman" w:hAnsi="Times New Roman"/>
          <w:b/>
          <w:smallCaps/>
          <w:u w:val="single"/>
        </w:rPr>
        <w:t>Unconventionals</w:t>
      </w:r>
    </w:p>
    <w:p w:rsidR="002B0AA5" w:rsidRPr="00341DF6" w:rsidRDefault="002B0AA5"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Bemani, A., Baghban, A., Mohammadi, A.H., Andersen, P.Ø., 2020. Estimation of adsorption capacity of CO</w:t>
      </w:r>
      <w:r w:rsidRPr="00341DF6">
        <w:rPr>
          <w:rFonts w:ascii="Times New Roman" w:hAnsi="Times New Roman" w:cs="Times New Roman"/>
          <w:sz w:val="24"/>
          <w:szCs w:val="24"/>
          <w:vertAlign w:val="subscript"/>
        </w:rPr>
        <w:t>2</w:t>
      </w:r>
      <w:r w:rsidRPr="00341DF6">
        <w:rPr>
          <w:rFonts w:ascii="Times New Roman" w:hAnsi="Times New Roman" w:cs="Times New Roman"/>
          <w:sz w:val="24"/>
          <w:szCs w:val="24"/>
        </w:rPr>
        <w:t>, CH</w:t>
      </w:r>
      <w:r w:rsidRPr="00341DF6">
        <w:rPr>
          <w:rFonts w:ascii="Times New Roman" w:hAnsi="Times New Roman" w:cs="Times New Roman"/>
          <w:sz w:val="24"/>
          <w:szCs w:val="24"/>
          <w:vertAlign w:val="subscript"/>
        </w:rPr>
        <w:t>4</w:t>
      </w:r>
      <w:r w:rsidRPr="00341DF6">
        <w:rPr>
          <w:rFonts w:ascii="Times New Roman" w:hAnsi="Times New Roman" w:cs="Times New Roman"/>
          <w:sz w:val="24"/>
          <w:szCs w:val="24"/>
        </w:rPr>
        <w:t>, and their binary mixtures in Quidam shale using LSSVM: Application in CO</w:t>
      </w:r>
      <w:r w:rsidRPr="00341DF6">
        <w:rPr>
          <w:rFonts w:ascii="Times New Roman" w:hAnsi="Times New Roman" w:cs="Times New Roman"/>
          <w:sz w:val="24"/>
          <w:szCs w:val="24"/>
          <w:vertAlign w:val="subscript"/>
        </w:rPr>
        <w:t>2</w:t>
      </w:r>
      <w:r w:rsidRPr="00341DF6">
        <w:rPr>
          <w:rFonts w:ascii="Times New Roman" w:hAnsi="Times New Roman" w:cs="Times New Roman"/>
          <w:sz w:val="24"/>
          <w:szCs w:val="24"/>
        </w:rPr>
        <w:t xml:space="preserve"> enhanced shale gas recovery and CO</w:t>
      </w:r>
      <w:r w:rsidRPr="00341DF6">
        <w:rPr>
          <w:rFonts w:ascii="Times New Roman" w:hAnsi="Times New Roman" w:cs="Times New Roman"/>
          <w:sz w:val="24"/>
          <w:szCs w:val="24"/>
          <w:vertAlign w:val="subscript"/>
        </w:rPr>
        <w:t>2</w:t>
      </w:r>
      <w:r w:rsidRPr="00341DF6">
        <w:rPr>
          <w:rFonts w:ascii="Times New Roman" w:hAnsi="Times New Roman" w:cs="Times New Roman"/>
          <w:sz w:val="24"/>
          <w:szCs w:val="24"/>
        </w:rPr>
        <w:t xml:space="preserve"> storage. Journal of Natural Gas Science and Engineering 76, 103204.</w:t>
      </w:r>
    </w:p>
    <w:p w:rsidR="002B0AA5" w:rsidRPr="00341DF6" w:rsidRDefault="002B0AA5"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Berawala, D.S., Andersen, P.Ø., 2020. Numerical investigation of Non-Darcy flow regime transitions in shale gas production. Journal of Petroleum Science and Engineering 190, 107114.</w:t>
      </w:r>
    </w:p>
    <w:p w:rsidR="00F55A9D" w:rsidRPr="00341DF6" w:rsidRDefault="00F55A9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Beti, D.R., Jiang, C., Panja, P., Ring, T.A., Levey, R.,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Hydrocarbon distributions of incremental S1 peaks corresponding to different boiling point ranges of petroleum in rock samples. Journal of Petroleum Science and Engineering 191, 107174.</w:t>
      </w:r>
    </w:p>
    <w:p w:rsidR="00F55A9D" w:rsidRPr="00341DF6" w:rsidRDefault="00F55A9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Beti, D.R., Panja, P., Jiang, C., Milovic, M., Robinson, R., Ring, T.A., Levey, R.,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Change in hydrocarbon composition in rock samples as a function of time: A thermodynamic evaporation model. Journal of Natural Gas Science and Engineering 77, 103238.</w:t>
      </w:r>
    </w:p>
    <w:p w:rsidR="005C5B53" w:rsidRPr="00341DF6" w:rsidRDefault="005C5B53"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Cao, T., Xu, H., Liu, G., Deng, M., Cao, Q., Yu, Y., 2020. Factors influencing microstructure and porosity in shales of the Wufeng-Longmaxi formations in northwestern Guizhou, China. Journal of Petroleum Science and Engineering 191, 107181.</w:t>
      </w:r>
    </w:p>
    <w:p w:rsidR="005C5B53" w:rsidRPr="00341DF6" w:rsidRDefault="005C5B53"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Chen, Z., Chen, L., Wang, G., Zou, C., Jiang, S., Si, Z., Gao, W.,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Applying isotopic geochemical proxy for gas content prediction of Longmaxi shale in the Sichuan Basin, China. Marine and Petroleum Geology 116, 104329.</w:t>
      </w:r>
    </w:p>
    <w:p w:rsidR="006A33BC" w:rsidRPr="00341DF6" w:rsidRDefault="006A33BC"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Fan, C., Li, H., Qin, Q., He, S., Zhong, C.,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Geological conditions and exploration potential of shale gas reservoir in Wufeng and Longmaxi Formation of southeastern Sichuan Basin, China. Journal of Petroleum Science and Engineering 191, 107138.</w:t>
      </w:r>
    </w:p>
    <w:p w:rsidR="006A33BC" w:rsidRPr="00341DF6" w:rsidRDefault="006A33BC"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lastRenderedPageBreak/>
        <w:t xml:space="preserve">Feng, G., Zhu, Y., Chen, S., Wang, Y., Ju, W., Hu, Y., You, Z., Wang, G.G.X.,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Supercritical methane adsorption on shale over wide pressure and temperature ranges: Implications for gas-in-place estimation. Energy &amp; Fuels 34, 3121-3134.</w:t>
      </w:r>
    </w:p>
    <w:p w:rsidR="004F1E0C" w:rsidRPr="00341DF6" w:rsidRDefault="004F1E0C"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Guo, Y., Wang, L., Chang, X., Zhou, J., Zhang, X.,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Study on fracture morphological characteristics of refracturing for Longmaxi Shale Formation. Geofluids 2020, 1628431.</w:t>
      </w:r>
    </w:p>
    <w:p w:rsidR="00DF0DA9" w:rsidRPr="00341DF6" w:rsidRDefault="00DF0DA9"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Hu, G., Pang, Q., Jiao, K., Hu, C., Liao, Z.,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Development of organic pores in the Longmaxi Formation overmature shales: Combined effects of thermal maturity and organic matter composition. Marine and Petroleum Geology 116, 104314.</w:t>
      </w:r>
    </w:p>
    <w:p w:rsidR="00DF0DA9" w:rsidRPr="00341DF6" w:rsidRDefault="00DF0DA9"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Hu, K., Mischo, H., 2020. High-pressure methane adsorption and desorption in shales from the Sichuan Basin, southwestern China. Energy &amp; Fuels 34, 2945-2957.</w:t>
      </w:r>
    </w:p>
    <w:p w:rsidR="00DF0DA9" w:rsidRPr="00341DF6" w:rsidRDefault="00DF0DA9"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Huang, J., Jin, T., Barrufet, M., Killough, J.,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Evaluation of CO</w:t>
      </w:r>
      <w:r w:rsidRPr="00341DF6">
        <w:rPr>
          <w:rFonts w:ascii="Times New Roman" w:hAnsi="Times New Roman" w:cs="Times New Roman"/>
          <w:sz w:val="24"/>
          <w:szCs w:val="24"/>
          <w:vertAlign w:val="subscript"/>
        </w:rPr>
        <w:t>2</w:t>
      </w:r>
      <w:r w:rsidRPr="00341DF6">
        <w:rPr>
          <w:rFonts w:ascii="Times New Roman" w:hAnsi="Times New Roman" w:cs="Times New Roman"/>
          <w:sz w:val="24"/>
          <w:szCs w:val="24"/>
        </w:rPr>
        <w:t xml:space="preserve"> injection into shale gas reservoirs considering dispersed distribution of kerogen. Applied Energy 260, 114285.</w:t>
      </w:r>
    </w:p>
    <w:p w:rsidR="00DF0DA9" w:rsidRPr="00341DF6" w:rsidRDefault="00DF0DA9"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Iddphonce, R., Wang, J., Zhao, L., 2020. Review of CO</w:t>
      </w:r>
      <w:r w:rsidRPr="00341DF6">
        <w:rPr>
          <w:rFonts w:ascii="Times New Roman" w:hAnsi="Times New Roman" w:cs="Times New Roman"/>
          <w:sz w:val="24"/>
          <w:szCs w:val="24"/>
          <w:vertAlign w:val="subscript"/>
        </w:rPr>
        <w:t>2</w:t>
      </w:r>
      <w:r w:rsidRPr="00341DF6">
        <w:rPr>
          <w:rFonts w:ascii="Times New Roman" w:hAnsi="Times New Roman" w:cs="Times New Roman"/>
          <w:sz w:val="24"/>
          <w:szCs w:val="24"/>
        </w:rPr>
        <w:t xml:space="preserve"> injection techniques for enhanced shale gas recovery: Prospect and challenges. Journal of Natural Gas Science and Engineering 77, 103240.</w:t>
      </w:r>
    </w:p>
    <w:p w:rsidR="00DF0DA9" w:rsidRPr="00341DF6" w:rsidRDefault="00DF0DA9"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Jia, B., Tsau, J.-S., Barati, R., 2020. Investigation of shale-gas-production behavior: Evaluation of the effects of multiple physics on the matrix. SPE-197069-PA 23, 68-80.</w:t>
      </w:r>
    </w:p>
    <w:p w:rsidR="00672046" w:rsidRPr="00341DF6" w:rsidRDefault="00672046"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Keles, C., Tang, X., Schlosser, C., Louk, A.K., Ripepi, N.S., 2020. Sensitivity and history match analysis of a carbon dioxide “huff-and-puff” injection test in a horizontal shale gas well in Tennessee. Journal of Natural Gas Science and Engineering 77, 103226.</w:t>
      </w:r>
    </w:p>
    <w:p w:rsidR="00672046" w:rsidRPr="00341DF6" w:rsidRDefault="00672046"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Lee, H., Oncel, N., Liu, B., Kukay, A., Altincicek, F., Varma, R.S., Shokouhimehr, M., Ostadhassan, M.,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Structural evolution of organic matter in deep shales by spectroscopy (</w:t>
      </w:r>
      <w:r w:rsidRPr="00341DF6">
        <w:rPr>
          <w:rFonts w:ascii="Times New Roman" w:hAnsi="Times New Roman" w:cs="Times New Roman"/>
          <w:sz w:val="24"/>
          <w:szCs w:val="24"/>
          <w:vertAlign w:val="superscript"/>
        </w:rPr>
        <w:t>1</w:t>
      </w:r>
      <w:r w:rsidRPr="00341DF6">
        <w:rPr>
          <w:rFonts w:ascii="Times New Roman" w:hAnsi="Times New Roman" w:cs="Times New Roman"/>
          <w:sz w:val="24"/>
          <w:szCs w:val="24"/>
        </w:rPr>
        <w:t xml:space="preserve">H and </w:t>
      </w:r>
      <w:r w:rsidRPr="00341DF6">
        <w:rPr>
          <w:rFonts w:ascii="Times New Roman" w:hAnsi="Times New Roman" w:cs="Times New Roman"/>
          <w:sz w:val="24"/>
          <w:szCs w:val="24"/>
          <w:vertAlign w:val="superscript"/>
        </w:rPr>
        <w:t>13</w:t>
      </w:r>
      <w:r w:rsidRPr="00341DF6">
        <w:rPr>
          <w:rFonts w:ascii="Times New Roman" w:hAnsi="Times New Roman" w:cs="Times New Roman"/>
          <w:sz w:val="24"/>
          <w:szCs w:val="24"/>
        </w:rPr>
        <w:t>C nuclear magnetic resonance, X-ray photoelectron spectroscopy, and Fourier transform infrared) analysis. Energy &amp; Fuels 34, 2807-2815.</w:t>
      </w:r>
    </w:p>
    <w:p w:rsidR="0064405D" w:rsidRPr="00341DF6" w:rsidRDefault="0064405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Li, J., Li, B., Ren, C., Yang, K., Zhang, Y.,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Characterization of methane adsorption behavior on wet shale under different temperature conditions. Energy &amp; Fuels 34, 2832-2848.</w:t>
      </w:r>
    </w:p>
    <w:p w:rsidR="0064405D" w:rsidRPr="00341DF6" w:rsidRDefault="0064405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Liu, C., Wang, H., Li, X., Qiu, Z., Guo, J., Wang, Z.,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Sedimentary characteristics and exploration potential for shale gas in Yanxi Formation, central and southern Hunan. Acta Sedimentologica Sinica 38, 218-230.</w:t>
      </w:r>
    </w:p>
    <w:p w:rsidR="0064405D" w:rsidRPr="00341DF6" w:rsidRDefault="0064405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Liu, R., Hao, F., Engelder, T., Shu, Z., Yi, J., Xu, S., Teng, C.,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Influence of tectonic exhumation on porosity of Wufeng–Longmaxi shale in the Fuling gas field of the eastern Sichuan Basin, China. American Association of Petroleum Geologists Bulletin 104, 939-959.</w:t>
      </w:r>
    </w:p>
    <w:p w:rsidR="0064405D" w:rsidRPr="00341DF6" w:rsidRDefault="0064405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Liu, Y., Hou, J., Wang, C.,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Absolute adsorption of CH</w:t>
      </w:r>
      <w:r w:rsidRPr="00341DF6">
        <w:rPr>
          <w:rFonts w:ascii="Times New Roman" w:hAnsi="Times New Roman" w:cs="Times New Roman"/>
          <w:sz w:val="24"/>
          <w:szCs w:val="24"/>
          <w:vertAlign w:val="subscript"/>
        </w:rPr>
        <w:t>4</w:t>
      </w:r>
      <w:r w:rsidRPr="00341DF6">
        <w:rPr>
          <w:rFonts w:ascii="Times New Roman" w:hAnsi="Times New Roman" w:cs="Times New Roman"/>
          <w:sz w:val="24"/>
          <w:szCs w:val="24"/>
        </w:rPr>
        <w:t xml:space="preserve"> on shale with the simplified local-density theory. SPE-199344-PA 25, 212-225.</w:t>
      </w:r>
    </w:p>
    <w:p w:rsidR="0049088E" w:rsidRPr="00341DF6" w:rsidRDefault="0049088E"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Mohammed, S., Gadikota, G., 2020. Exploring the role of inorganic and organic interfaces on CO</w:t>
      </w:r>
      <w:r w:rsidRPr="00341DF6">
        <w:rPr>
          <w:rFonts w:ascii="Times New Roman" w:hAnsi="Times New Roman" w:cs="Times New Roman"/>
          <w:sz w:val="24"/>
          <w:szCs w:val="24"/>
          <w:vertAlign w:val="subscript"/>
        </w:rPr>
        <w:t>2</w:t>
      </w:r>
      <w:r w:rsidRPr="00341DF6">
        <w:rPr>
          <w:rFonts w:ascii="Times New Roman" w:hAnsi="Times New Roman" w:cs="Times New Roman"/>
          <w:sz w:val="24"/>
          <w:szCs w:val="24"/>
        </w:rPr>
        <w:t xml:space="preserve"> and CH</w:t>
      </w:r>
      <w:r w:rsidRPr="00341DF6">
        <w:rPr>
          <w:rFonts w:ascii="Times New Roman" w:hAnsi="Times New Roman" w:cs="Times New Roman"/>
          <w:sz w:val="24"/>
          <w:szCs w:val="24"/>
          <w:vertAlign w:val="subscript"/>
        </w:rPr>
        <w:t>4</w:t>
      </w:r>
      <w:r w:rsidRPr="00341DF6">
        <w:rPr>
          <w:rFonts w:ascii="Times New Roman" w:hAnsi="Times New Roman" w:cs="Times New Roman"/>
          <w:sz w:val="24"/>
          <w:szCs w:val="24"/>
        </w:rPr>
        <w:t xml:space="preserve"> partitioning: Case study of silica, illite, calcite, and kerogen nanopores on gas adsorption and nanoscale transport behaviors. Energy &amp; Fuels 34, 3578-3590.</w:t>
      </w:r>
    </w:p>
    <w:p w:rsidR="00F407FD" w:rsidRPr="00341DF6" w:rsidRDefault="00F407F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lastRenderedPageBreak/>
        <w:t>Nie, H., Yang, Z., Dang, W., Chen, Q., Li, P., Li, D., Wang, R., 2020. Study of shale gas release from freshly drilled core samples using a real-time canister monitoring technique: Release kinetics, influencing factors, and upscaling. Energy &amp; Fuels 34, 2916-2924.</w:t>
      </w:r>
    </w:p>
    <w:p w:rsidR="00F407FD" w:rsidRPr="00341DF6" w:rsidRDefault="00F407F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Orozco, D., Fragoso, A., Selvan, K., Noble, G., Aguilera, R., 2020. Eagle Ford huff ‘n’ puff gas-injection pilot: Comparison of reservoir-simulation, material balance, and real performance of the pilot well. SPE-197069-PA 23, 247-260.</w:t>
      </w:r>
    </w:p>
    <w:p w:rsidR="00F407FD" w:rsidRPr="00341DF6" w:rsidRDefault="00F407F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Qiu, Z., Zou, C., 2020. Unconventional petroleum sedimentology: Connotation and prospect Acta Sedimentologica Sinica 38, 1-29.</w:t>
      </w:r>
    </w:p>
    <w:p w:rsidR="005D79ED" w:rsidRPr="00341DF6" w:rsidRDefault="005D79E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Ruppert, L.F., Jubb, A.M., Headen, T.F., Youngs, T.G.A., Bandli, B., 2020. Impacts of mineralogical variation on CO</w:t>
      </w:r>
      <w:r w:rsidRPr="00341DF6">
        <w:rPr>
          <w:rFonts w:ascii="Times New Roman" w:hAnsi="Times New Roman" w:cs="Times New Roman"/>
          <w:sz w:val="24"/>
          <w:szCs w:val="24"/>
          <w:vertAlign w:val="subscript"/>
        </w:rPr>
        <w:t>2</w:t>
      </w:r>
      <w:r w:rsidRPr="00341DF6">
        <w:rPr>
          <w:rFonts w:ascii="Times New Roman" w:hAnsi="Times New Roman" w:cs="Times New Roman"/>
          <w:sz w:val="24"/>
          <w:szCs w:val="24"/>
        </w:rPr>
        <w:t xml:space="preserve"> behavior in small pores from producing intervals of the Marcellus Shale: results from neutron scattering. Energy &amp; Fuels 34, 2765-2771.</w:t>
      </w:r>
    </w:p>
    <w:p w:rsidR="00BC6CFF" w:rsidRPr="00341DF6" w:rsidRDefault="00BC6CFF"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Sheng, G., Su, Y., Zhao, H., Liu, J., 2020. A unified apparent porosity/permeability model of organic porous media: Coupling complex pore structure and multi-migration mechanism. Advances in Geo-Energy Research 4, 115-125.</w:t>
      </w:r>
    </w:p>
    <w:p w:rsidR="00123F4A" w:rsidRPr="00341DF6" w:rsidRDefault="00123F4A"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Sun, L., Fu, D., Chai, S., Yang, W., Zhou, K., Li, W.,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Fractal characteristics and significances of the nanopores in oil shales during hydrous pyrolysis. Journal of Petroleum Exploration and Production Technology 10, 557-567.</w:t>
      </w:r>
    </w:p>
    <w:p w:rsidR="00123F4A" w:rsidRPr="00341DF6" w:rsidRDefault="00123F4A"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Tan, J., Hu, R., Wang, W., Dick, J., 2020. Palynological analysis of the late Ordovician - early Silurian black shales in South China provides new insights for the investigation of pore systems in shale gas reservoirs. Marine and Petroleum Geology 116, 104145.</w:t>
      </w:r>
    </w:p>
    <w:p w:rsidR="00911845" w:rsidRPr="00341DF6" w:rsidRDefault="00911845"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Wang, H., Lun, Z., Lv, C., Lang, D., Luo, M., Zhao, Q., Zhao, C.,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Nuclear-magnetic-resonance study on oil mobilization in shale exposed to CO</w:t>
      </w:r>
      <w:r w:rsidRPr="00341DF6">
        <w:rPr>
          <w:rFonts w:ascii="Times New Roman" w:hAnsi="Times New Roman" w:cs="Times New Roman"/>
          <w:sz w:val="24"/>
          <w:szCs w:val="24"/>
          <w:vertAlign w:val="subscript"/>
        </w:rPr>
        <w:t>2</w:t>
      </w:r>
      <w:r w:rsidRPr="00341DF6">
        <w:rPr>
          <w:rFonts w:ascii="Times New Roman" w:hAnsi="Times New Roman" w:cs="Times New Roman"/>
          <w:sz w:val="24"/>
          <w:szCs w:val="24"/>
        </w:rPr>
        <w:t>. SPE-199344-PA 25, 432-439.</w:t>
      </w:r>
    </w:p>
    <w:p w:rsidR="00911845" w:rsidRPr="00341DF6" w:rsidRDefault="00911845"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Wang, X., Hou, J., Li, S., Dou, L., Song, S., Kang, Q., Wang, D.,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Insight into the nanoscale pore structure of organic-rich shales in the Bakken Formation, USA. Journal of Petroleum Science and Engineering 191, 107182.</w:t>
      </w:r>
    </w:p>
    <w:p w:rsidR="00911845" w:rsidRPr="00341DF6" w:rsidRDefault="00911845"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Xu, S., Hao, F., Shu, Z., Zhang, A., Yang, F.,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Pore structures of different types of shales and shale gas exploration of the Ordovician Wufeng and Silurian Longmaxi successions in the eastern Sichuan Basin, South China. Journal of Asian Earth Sciences 193, 104271.</w:t>
      </w:r>
    </w:p>
    <w:p w:rsidR="00911845" w:rsidRPr="00341DF6" w:rsidRDefault="00911845"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Yu, X., Li, J., Chen, Z., Wu, K., Zhang, L., Yang, S.,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Effects of helium adsorption in carbon nanopores on apparent void volumes and excess methane adsorption isotherms. Fuel 270, 117499.</w:t>
      </w:r>
    </w:p>
    <w:p w:rsidR="00C90188" w:rsidRPr="00341DF6" w:rsidRDefault="00C90188"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Zhang, R., Liu, S., He, L., Blach, T.P., Wang, Y.,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Characterizing anisotropic pore structure and its impact on gas storage and transport in coalbed methane and shale gas reservoirs. Energy &amp; Fuels 34, 3161-3172.</w:t>
      </w:r>
    </w:p>
    <w:p w:rsidR="00C90188" w:rsidRDefault="00C90188" w:rsidP="00DB42FE">
      <w:pPr>
        <w:pStyle w:val="EndNoteBibliography"/>
        <w:spacing w:after="120"/>
        <w:ind w:left="720" w:hanging="360"/>
        <w:rPr>
          <w:rFonts w:ascii="Times New Roman" w:hAnsi="Times New Roman" w:cs="Times New Roman"/>
          <w:sz w:val="24"/>
          <w:szCs w:val="24"/>
        </w:rPr>
      </w:pPr>
      <w:r w:rsidRPr="006C14E0">
        <w:rPr>
          <w:rFonts w:ascii="Times New Roman" w:hAnsi="Times New Roman" w:cs="Times New Roman"/>
          <w:sz w:val="24"/>
          <w:szCs w:val="24"/>
        </w:rPr>
        <w:t xml:space="preserve">Zhang, X., Liu, C., Guo, Z., Gui, H., Tian, J., Wu, X., Peng, B., Sun, Y., Ping, Y.,  </w:t>
      </w:r>
      <w:r w:rsidR="00616347">
        <w:rPr>
          <w:rFonts w:ascii="Times New Roman" w:hAnsi="Times New Roman" w:cs="Times New Roman"/>
          <w:sz w:val="24"/>
          <w:szCs w:val="24"/>
        </w:rPr>
        <w:t xml:space="preserve">2020. </w:t>
      </w:r>
      <w:r w:rsidRPr="006C14E0">
        <w:rPr>
          <w:rFonts w:ascii="Times New Roman" w:hAnsi="Times New Roman" w:cs="Times New Roman"/>
          <w:sz w:val="24"/>
          <w:szCs w:val="24"/>
        </w:rPr>
        <w:t>Characteristics and influencing factors of unconventional hydrocarbon accumulation in saline lacustrine fine-grained sedimentary rocks in the northwestern Qaidam Basin. Energy &amp; Fuels 34, 2726-2738.</w:t>
      </w:r>
    </w:p>
    <w:p w:rsidR="009254E5" w:rsidRPr="00AE0525" w:rsidRDefault="009254E5" w:rsidP="008741AD">
      <w:pPr>
        <w:spacing w:before="0" w:after="240"/>
        <w:ind w:left="720" w:hanging="720"/>
      </w:pPr>
    </w:p>
    <w:p w:rsidR="001A3A58" w:rsidRDefault="001A3A58" w:rsidP="008741AD">
      <w:pPr>
        <w:pStyle w:val="H2"/>
        <w:spacing w:before="0" w:after="240"/>
        <w:ind w:left="720" w:hanging="720"/>
        <w:outlineLvl w:val="0"/>
      </w:pPr>
      <w:r>
        <w:lastRenderedPageBreak/>
        <w:t>Precambrian Geochemistry</w:t>
      </w:r>
    </w:p>
    <w:p w:rsidR="002B0AA5" w:rsidRPr="00341DF6" w:rsidRDefault="002B0AA5" w:rsidP="002B0AA5">
      <w:pPr>
        <w:pStyle w:val="EndNoteBibliography"/>
        <w:spacing w:after="120"/>
        <w:rPr>
          <w:rFonts w:ascii="Times New Roman" w:hAnsi="Times New Roman" w:cs="Times New Roman"/>
          <w:sz w:val="24"/>
          <w:szCs w:val="24"/>
        </w:rPr>
      </w:pPr>
      <w:r w:rsidRPr="00341DF6">
        <w:rPr>
          <w:rFonts w:ascii="Times New Roman" w:hAnsi="Times New Roman" w:cs="Times New Roman"/>
          <w:sz w:val="24"/>
          <w:szCs w:val="24"/>
        </w:rPr>
        <w:t>Bermingham, K.R., 2020. Ancient rock bears isotopic fingerprints of Earth’s origins. Nature 579, 195-196.</w:t>
      </w:r>
    </w:p>
    <w:p w:rsidR="005C5B53" w:rsidRPr="00341DF6" w:rsidRDefault="005C5B53" w:rsidP="005C5B53">
      <w:pPr>
        <w:pStyle w:val="EndNoteBibliography"/>
        <w:spacing w:after="120"/>
        <w:rPr>
          <w:rFonts w:ascii="Times New Roman" w:hAnsi="Times New Roman" w:cs="Times New Roman"/>
          <w:sz w:val="24"/>
          <w:szCs w:val="24"/>
        </w:rPr>
      </w:pPr>
      <w:r w:rsidRPr="00341DF6">
        <w:rPr>
          <w:rFonts w:ascii="Times New Roman" w:hAnsi="Times New Roman" w:cs="Times New Roman"/>
          <w:sz w:val="24"/>
          <w:szCs w:val="24"/>
        </w:rPr>
        <w:t>Catling, D.C., Zahnle, K.J., 2020. The Archean atmosphere. Science Advances 6, eaax1420.</w:t>
      </w:r>
    </w:p>
    <w:p w:rsidR="006A33BC" w:rsidRPr="00341DF6" w:rsidRDefault="006A33BC" w:rsidP="006A33BC">
      <w:pPr>
        <w:pStyle w:val="EndNoteBibliography"/>
        <w:spacing w:after="120"/>
        <w:rPr>
          <w:rFonts w:ascii="Times New Roman" w:hAnsi="Times New Roman" w:cs="Times New Roman"/>
          <w:sz w:val="24"/>
          <w:szCs w:val="24"/>
        </w:rPr>
      </w:pPr>
      <w:r w:rsidRPr="00341DF6">
        <w:rPr>
          <w:rFonts w:ascii="Times New Roman" w:hAnsi="Times New Roman" w:cs="Times New Roman"/>
          <w:sz w:val="24"/>
          <w:szCs w:val="24"/>
        </w:rPr>
        <w:t>Fischer-Gödde, M., Elfers, B.-M., Münker, C., Szilas, K., Maier, W.D., Messling, N., Morishita, T., Van Kranendonk, M., Smithies, H., 2020. Ruthenium isotope vestige of Earth’s pre-late-veneer mantle preserved in Archaean rocks. Nature 579, 240-244.</w:t>
      </w:r>
    </w:p>
    <w:p w:rsidR="004F1E0C" w:rsidRPr="00341DF6" w:rsidRDefault="004F1E0C" w:rsidP="004F1E0C">
      <w:pPr>
        <w:pStyle w:val="EndNoteBibliography"/>
        <w:spacing w:after="120"/>
        <w:rPr>
          <w:rFonts w:ascii="Times New Roman" w:hAnsi="Times New Roman" w:cs="Times New Roman"/>
          <w:sz w:val="24"/>
          <w:szCs w:val="24"/>
        </w:rPr>
      </w:pPr>
      <w:r w:rsidRPr="00341DF6">
        <w:rPr>
          <w:rFonts w:ascii="Times New Roman" w:hAnsi="Times New Roman" w:cs="Times New Roman"/>
          <w:sz w:val="24"/>
          <w:szCs w:val="24"/>
        </w:rPr>
        <w:t>Gibson, G.M., Champion, D.C., Huston, D.L., Withnall, I.W., 2020. Orogenesis in paleo-Mesoproterozoic eastern Australia: A response to arc-continent and continent-continent collision during assembly of the Nuna supercontinent. Tectonics 39, e2019TC005717.</w:t>
      </w:r>
    </w:p>
    <w:p w:rsidR="001A3A58" w:rsidRDefault="001A3A58" w:rsidP="008741AD">
      <w:pPr>
        <w:spacing w:before="0" w:after="240"/>
        <w:ind w:left="720" w:hanging="720"/>
      </w:pPr>
    </w:p>
    <w:p w:rsidR="00F46943" w:rsidRDefault="00F46943" w:rsidP="00F46943">
      <w:pPr>
        <w:pStyle w:val="H3"/>
        <w:spacing w:before="0" w:after="240"/>
        <w:ind w:hanging="360"/>
      </w:pPr>
      <w:r>
        <w:t>Organics/Microfossils/Microbial Evolution</w:t>
      </w:r>
    </w:p>
    <w:p w:rsidR="00DF0DA9" w:rsidRPr="00341DF6" w:rsidRDefault="00DF0DA9"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Hickman-Lewis, K., Cavalazzi, B., Sorieul, S., Gautret, P., Foucher, F., Whitehouse, M.J., Jeon, H., Georgelin, T., Cockell, C.S., Westall, F., 2020. Metallomics in deep time and the influence of ocean chemistry on the metabolic landscapes of Earth’s earliest ecosystems. Scientific Reports 10, 4965.</w:t>
      </w:r>
    </w:p>
    <w:p w:rsidR="00DF0DA9" w:rsidRPr="00341DF6" w:rsidRDefault="00DF0DA9"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Hu, S., Wang, K., Wang, T., Yang, T., Luo, P., Shi, S., Wang, S., Su, J.,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Sedimentary environment and organic matter accumulation of Neoproterozoic black shale in the North China Craton: A case study of the Tonian Baishugou Formation in the Luonan area. Palaeogeography, Palaeoclimatology, Palaeoecology 547, 109694.</w:t>
      </w:r>
    </w:p>
    <w:p w:rsidR="0064405D" w:rsidRPr="00341DF6" w:rsidRDefault="0064405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Li, X., Wang, Y., Wang, H.,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Microbially induced sedimentary structures (MISS) in Mesoproterozoic Changzhougou Formation sandstone, Xingcheng area, Liaoning Province, China. Acta Sedimentologica Sinica 38, 32-45.</w:t>
      </w:r>
    </w:p>
    <w:p w:rsidR="0049088E" w:rsidRPr="00341DF6" w:rsidRDefault="0049088E"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Min, X., Hua, H., Liu, L., Sun, B., Cui, Z., Dai, Q., 2020. A diverse calcified cyanobacteria assemblage in the latest Ediacaran. Precambrian Research 342, 105669.</w:t>
      </w:r>
    </w:p>
    <w:p w:rsidR="005D79ED" w:rsidRPr="00341DF6" w:rsidRDefault="005D79E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Rozanov, A.Y., Astafieva, M.M., 2020. Archean eukaryotes: A new outlook. Paleontological Journal 54, 1-5.</w:t>
      </w:r>
    </w:p>
    <w:p w:rsidR="00911845" w:rsidRPr="00341DF6" w:rsidRDefault="00911845"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Xing, Z., Liu, Y., Fu, Y., Qi, Y., Zheng, W.,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 xml:space="preserve">Characteristics of microbially induced sedimentary structures and their paleoenvironmental significance from the Mesoproterozoic Yunmengshan Formation in Lushan area, western Henan. Acta Sedimentologica Sinica 38, 46-54 </w:t>
      </w:r>
    </w:p>
    <w:p w:rsidR="00C90188" w:rsidRPr="00341DF6" w:rsidRDefault="00C90188"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Zhai, X., Luo, P., Gu, Z., Jiang, H., Zhang, B., Wang, Z., Wang, T., Wu, S.,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Microbial mineralization of botryoidal laminations in the Upper Ediacaran dolostones, Western Yangtze Platform, SW China. Journal of Asian Earth Sciences 195, 104334.</w:t>
      </w:r>
    </w:p>
    <w:p w:rsidR="00C90188" w:rsidRPr="00341DF6" w:rsidRDefault="00C90188"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Zhu, D., Liu, Q., He, Z., Ding, Q., Wang, J.,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Early development and late preservation of porosity linked to presence of hydrocarbons in Precambrian microbialite gas reservoirs within the Sichuan Basin, southern China. Precambrian Research 342, 105694.</w:t>
      </w:r>
    </w:p>
    <w:p w:rsidR="00F46943" w:rsidRDefault="00F46943" w:rsidP="00DB42FE">
      <w:pPr>
        <w:widowControl/>
        <w:spacing w:before="0" w:after="120"/>
        <w:ind w:left="720" w:hanging="360"/>
      </w:pPr>
    </w:p>
    <w:p w:rsidR="00D07442" w:rsidRPr="007E3DD8" w:rsidRDefault="00D07442" w:rsidP="005765D4">
      <w:pPr>
        <w:pStyle w:val="H3"/>
        <w:spacing w:before="0" w:after="240"/>
        <w:ind w:hanging="360"/>
      </w:pPr>
      <w:r>
        <w:lastRenderedPageBreak/>
        <w:t>Paleoclimatology/</w:t>
      </w:r>
      <w:r w:rsidR="00B35821">
        <w:t>Paleoceanography</w:t>
      </w:r>
    </w:p>
    <w:p w:rsidR="005C5B53" w:rsidRPr="00341DF6" w:rsidRDefault="005C5B53"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Chen, Y., Huang, J., Zhong, Y., Zhang, X., Zhai, M., Chu, X.,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Suboxic-dominated conditions in the Ediacaran shallow ocean: Geochemistry of pelitic siltstones in the Doushantuo Formation, South China. Palaeogeography, Palaeoclimatology, Palaeoecology 546, 109658.</w:t>
      </w:r>
    </w:p>
    <w:p w:rsidR="00DF0DA9" w:rsidRPr="00341DF6" w:rsidRDefault="00DF0DA9"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Hu, Y., Wang, W., Zhou, C.,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 xml:space="preserve">Morphologic and isotopic characteristics of sedimentary pyrite: A case study from deepwater facies, Ediacaran Lantian Formation in South China. Acta Sedimentologica Sinica 38, 138-149 </w:t>
      </w:r>
    </w:p>
    <w:p w:rsidR="00672046" w:rsidRPr="00341DF6" w:rsidRDefault="00672046"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Lécuyer, C., Fourel, F., Blamey, N., Brand, U., Fralick, P., 2020. δ</w:t>
      </w:r>
      <w:r w:rsidRPr="00341DF6">
        <w:rPr>
          <w:rFonts w:ascii="Times New Roman" w:hAnsi="Times New Roman" w:cs="Times New Roman"/>
          <w:sz w:val="24"/>
          <w:szCs w:val="24"/>
          <w:vertAlign w:val="superscript"/>
        </w:rPr>
        <w:t>2</w:t>
      </w:r>
      <w:r w:rsidRPr="00341DF6">
        <w:rPr>
          <w:rFonts w:ascii="Times New Roman" w:hAnsi="Times New Roman" w:cs="Times New Roman"/>
          <w:sz w:val="24"/>
          <w:szCs w:val="24"/>
        </w:rPr>
        <w:t>H of water from fluid inclusions in Proterozoic halite: Evidence for a deuterium-depleted hydrosphere? Chemical Geology 541, 119583.</w:t>
      </w:r>
    </w:p>
    <w:p w:rsidR="00F15A92" w:rsidRPr="00341DF6" w:rsidRDefault="00F15A92"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Magnall, J.M., Gleeson, S.A., Hayward, N., Rocholl, A., 2020. Massive sulfide Zn deposits in the Proterozoic did not require euxinia. Geochemical Perspectives Letters 13, 19-24.</w:t>
      </w:r>
    </w:p>
    <w:p w:rsidR="00D07442" w:rsidRDefault="00D07442" w:rsidP="00D07442">
      <w:pPr>
        <w:spacing w:before="0" w:after="240"/>
        <w:ind w:left="720" w:hanging="720"/>
      </w:pPr>
    </w:p>
    <w:p w:rsidR="00D07442" w:rsidRDefault="00D07442" w:rsidP="005765D4">
      <w:pPr>
        <w:pStyle w:val="H3"/>
        <w:spacing w:before="0" w:after="240"/>
        <w:ind w:hanging="360"/>
      </w:pPr>
      <w:r>
        <w:t>Crustal Evolution</w:t>
      </w:r>
    </w:p>
    <w:p w:rsidR="006A33BC" w:rsidRPr="00341DF6" w:rsidRDefault="006A33BC"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Ge, R., Wilde, S.A., Kemp, A.I.S., Jeon, H., Martin, L.A.J., Zhu, W., Wu, H., 2020. Generation of Eoarchean continental crust from altered mafic rocks derived from a chondritic mantle: The </w:t>
      </w:r>
      <w:r w:rsidRPr="00341DF6">
        <w:rPr>
          <w:rFonts w:ascii="Cambria Math" w:hAnsi="Cambria Math" w:cs="Cambria Math"/>
          <w:sz w:val="24"/>
          <w:szCs w:val="24"/>
        </w:rPr>
        <w:t>∼</w:t>
      </w:r>
      <w:r w:rsidRPr="00341DF6">
        <w:rPr>
          <w:rFonts w:ascii="Times New Roman" w:hAnsi="Times New Roman" w:cs="Times New Roman"/>
          <w:sz w:val="24"/>
          <w:szCs w:val="24"/>
        </w:rPr>
        <w:t>3.72 Ga Aktash gneisses, Tarim Craton (NW China). Earth and Planetary Science Letters 538, 116225.</w:t>
      </w:r>
    </w:p>
    <w:p w:rsidR="00BE7B53" w:rsidRPr="00341DF6" w:rsidRDefault="00BE7B53"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Johnson, B.W., Wing, B.A., 2020. Limited Archaean continental emergence reflected in an early Archaean </w:t>
      </w:r>
      <w:r w:rsidRPr="00341DF6">
        <w:rPr>
          <w:rFonts w:ascii="Times New Roman" w:hAnsi="Times New Roman" w:cs="Times New Roman"/>
          <w:sz w:val="24"/>
          <w:szCs w:val="24"/>
          <w:vertAlign w:val="superscript"/>
        </w:rPr>
        <w:t>18</w:t>
      </w:r>
      <w:r w:rsidRPr="00341DF6">
        <w:rPr>
          <w:rFonts w:ascii="Times New Roman" w:hAnsi="Times New Roman" w:cs="Times New Roman"/>
          <w:sz w:val="24"/>
          <w:szCs w:val="24"/>
        </w:rPr>
        <w:t>O-enriched ocean. Nature Geoscience 13, 243-248.</w:t>
      </w:r>
    </w:p>
    <w:p w:rsidR="00123F4A" w:rsidRPr="00341DF6" w:rsidRDefault="00123F4A"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Turner, S., Wilde, S., Wörner, G., Schaefer, B., Lai, Y.-J.,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An andesitic source for Jack Hills zircon supports onset of plate tectonics in the Hadean. Nature Communications 11, 1241.</w:t>
      </w:r>
    </w:p>
    <w:p w:rsidR="00D07442" w:rsidRPr="00AE0525" w:rsidRDefault="00D07442" w:rsidP="00DB42FE">
      <w:pPr>
        <w:widowControl/>
        <w:spacing w:before="0" w:after="120"/>
        <w:ind w:left="720" w:hanging="360"/>
      </w:pPr>
    </w:p>
    <w:p w:rsidR="00062542" w:rsidRDefault="00062542" w:rsidP="00062542">
      <w:pPr>
        <w:pStyle w:val="H2"/>
        <w:spacing w:before="0" w:after="240"/>
        <w:ind w:left="720" w:hanging="720"/>
        <w:outlineLvl w:val="0"/>
      </w:pPr>
      <w:r>
        <w:t>Production/Engineering Geochemistry</w:t>
      </w:r>
    </w:p>
    <w:p w:rsidR="00BB53BD" w:rsidRPr="00341DF6" w:rsidRDefault="00BB53BD" w:rsidP="00BB53BD">
      <w:pPr>
        <w:pStyle w:val="EndNoteBibliography"/>
        <w:spacing w:after="120"/>
        <w:rPr>
          <w:rFonts w:ascii="Times New Roman" w:hAnsi="Times New Roman" w:cs="Times New Roman"/>
          <w:sz w:val="24"/>
          <w:szCs w:val="24"/>
        </w:rPr>
      </w:pPr>
      <w:r w:rsidRPr="00341DF6">
        <w:rPr>
          <w:rFonts w:ascii="Times New Roman" w:hAnsi="Times New Roman" w:cs="Times New Roman"/>
          <w:sz w:val="24"/>
          <w:szCs w:val="24"/>
        </w:rPr>
        <w:t>Ali, J.A., Kalhury, A.M., Sabir, A.N., Ahmed, R.N., Ali, N.H., Abdullah, A.D., 2020. A state-of-the-art review of the application of nanotechnology in the oil and gas industry with a focus on drilling engineering. Journal of Petroleum Science and Engineering 191, 107118.</w:t>
      </w:r>
    </w:p>
    <w:p w:rsidR="00F55A9D" w:rsidRPr="00341DF6" w:rsidRDefault="00F55A9D" w:rsidP="00F55A9D">
      <w:pPr>
        <w:pStyle w:val="EndNoteBibliography"/>
        <w:spacing w:after="120"/>
        <w:rPr>
          <w:rFonts w:ascii="Times New Roman" w:hAnsi="Times New Roman" w:cs="Times New Roman"/>
          <w:sz w:val="24"/>
          <w:szCs w:val="24"/>
        </w:rPr>
      </w:pPr>
      <w:r w:rsidRPr="00341DF6">
        <w:rPr>
          <w:rFonts w:ascii="Times New Roman" w:hAnsi="Times New Roman" w:cs="Times New Roman"/>
          <w:sz w:val="24"/>
          <w:szCs w:val="24"/>
        </w:rPr>
        <w:t>Bhosale, S., Manigiri, R., Choudhury, R.P., Bhakthavatsalam, V., 2020. High resolution mass spectrometry and principal component analysis for an exhaustive understanding of acidic species composition in vacuum gas oil samples. Energy &amp; Fuels 34, 2800-2806.</w:t>
      </w:r>
    </w:p>
    <w:p w:rsidR="00F55A9D" w:rsidRPr="00341DF6" w:rsidRDefault="00F55A9D" w:rsidP="00F55A9D">
      <w:pPr>
        <w:pStyle w:val="EndNoteBibliography"/>
        <w:spacing w:after="120"/>
        <w:rPr>
          <w:rFonts w:ascii="Times New Roman" w:hAnsi="Times New Roman" w:cs="Times New Roman"/>
          <w:sz w:val="24"/>
          <w:szCs w:val="24"/>
        </w:rPr>
      </w:pPr>
      <w:r w:rsidRPr="00341DF6">
        <w:rPr>
          <w:rFonts w:ascii="Times New Roman" w:hAnsi="Times New Roman" w:cs="Times New Roman"/>
          <w:sz w:val="24"/>
          <w:szCs w:val="24"/>
        </w:rPr>
        <w:t>Boughoues, Y., Benamira, M., Messaadia, L., Ribouh, N., 2020. Adsorption and corrosion inhibition performance of some environmental friendly organic inhibitors for mild steel in HCl solution via experimental and theoretical study. Colloids and Surfaces A: Physicochemical and Engineering Aspects 593, 124610.</w:t>
      </w:r>
    </w:p>
    <w:p w:rsidR="005C5B53" w:rsidRPr="00341DF6" w:rsidRDefault="005C5B53" w:rsidP="005C5B53">
      <w:pPr>
        <w:pStyle w:val="EndNoteBibliography"/>
        <w:spacing w:after="120"/>
        <w:rPr>
          <w:rFonts w:ascii="Times New Roman" w:hAnsi="Times New Roman" w:cs="Times New Roman"/>
          <w:sz w:val="24"/>
          <w:szCs w:val="24"/>
        </w:rPr>
      </w:pPr>
      <w:r w:rsidRPr="00341DF6">
        <w:rPr>
          <w:rFonts w:ascii="Times New Roman" w:hAnsi="Times New Roman" w:cs="Times New Roman"/>
          <w:sz w:val="24"/>
          <w:szCs w:val="24"/>
        </w:rPr>
        <w:t>Chauhan, G., de Klerk, A., 2020. Dissolution methods for the quantification of metals in oil sands bitumen. Energy &amp; Fuels 34, 2870-2879.</w:t>
      </w:r>
    </w:p>
    <w:p w:rsidR="006A33BC" w:rsidRPr="00341DF6" w:rsidRDefault="006A33BC" w:rsidP="006A33BC">
      <w:pPr>
        <w:pStyle w:val="EndNoteBibliography"/>
        <w:spacing w:after="120"/>
        <w:rPr>
          <w:rFonts w:ascii="Times New Roman" w:hAnsi="Times New Roman" w:cs="Times New Roman"/>
          <w:sz w:val="24"/>
          <w:szCs w:val="24"/>
        </w:rPr>
      </w:pPr>
      <w:r w:rsidRPr="00341DF6">
        <w:rPr>
          <w:rFonts w:ascii="Times New Roman" w:hAnsi="Times New Roman" w:cs="Times New Roman"/>
          <w:sz w:val="24"/>
          <w:szCs w:val="24"/>
        </w:rPr>
        <w:lastRenderedPageBreak/>
        <w:t>Eke, W.I., Victor-Oji, C., Akaranta, O., 2020. Oilfield metal naphthenate formation and mitigation measures: a review. Journal of Petroleum Exploration and Production Technology 10, 805-819.</w:t>
      </w:r>
    </w:p>
    <w:p w:rsidR="006A33BC" w:rsidRPr="00341DF6" w:rsidRDefault="006A33BC" w:rsidP="006A33BC">
      <w:pPr>
        <w:pStyle w:val="EndNoteBibliography"/>
        <w:spacing w:after="120"/>
        <w:rPr>
          <w:rFonts w:ascii="Times New Roman" w:hAnsi="Times New Roman" w:cs="Times New Roman"/>
          <w:sz w:val="24"/>
          <w:szCs w:val="24"/>
        </w:rPr>
      </w:pPr>
      <w:r w:rsidRPr="00341DF6">
        <w:rPr>
          <w:rFonts w:ascii="Times New Roman" w:hAnsi="Times New Roman" w:cs="Times New Roman"/>
          <w:sz w:val="24"/>
          <w:szCs w:val="24"/>
        </w:rPr>
        <w:t>Farimani, A.M., Hassannejad, H., Nouri, A., Barati, A., 2020. Using oral penicillin as a novel environmentally friendly corrosion inhibitor for low carbon steel in an environment containing hydrogen sulfide corrosive gas. Journal of Natural Gas Science and Engineering 77, 103262.</w:t>
      </w:r>
    </w:p>
    <w:p w:rsidR="006A33BC" w:rsidRPr="00341DF6" w:rsidRDefault="006A33BC" w:rsidP="006A33BC">
      <w:pPr>
        <w:pStyle w:val="EndNoteBibliography"/>
        <w:spacing w:after="120"/>
        <w:rPr>
          <w:rFonts w:ascii="Times New Roman" w:hAnsi="Times New Roman" w:cs="Times New Roman"/>
          <w:sz w:val="24"/>
          <w:szCs w:val="24"/>
        </w:rPr>
      </w:pPr>
      <w:r w:rsidRPr="00341DF6">
        <w:rPr>
          <w:rFonts w:ascii="Times New Roman" w:hAnsi="Times New Roman" w:cs="Times New Roman"/>
          <w:sz w:val="24"/>
          <w:szCs w:val="24"/>
        </w:rPr>
        <w:t>Frauscher, M., Agocs, A., Besser, C., Rögner, A., Allmaier, G., Dörr, N., 2020. Time-resolved quantification of phenolic antioxidants and oxidation products in a model fuel by GC-EI-MS/MS. Energy &amp; Fuels 34, 2674-2682.</w:t>
      </w:r>
    </w:p>
    <w:p w:rsidR="00A71E84" w:rsidRPr="00341DF6" w:rsidRDefault="00A71E84" w:rsidP="00A71E84">
      <w:pPr>
        <w:pStyle w:val="EndNoteBibliography"/>
        <w:spacing w:after="120"/>
        <w:rPr>
          <w:rFonts w:ascii="Times New Roman" w:hAnsi="Times New Roman" w:cs="Times New Roman"/>
          <w:sz w:val="24"/>
          <w:szCs w:val="24"/>
        </w:rPr>
      </w:pPr>
      <w:r w:rsidRPr="00A71E84">
        <w:rPr>
          <w:rFonts w:ascii="Times New Roman" w:hAnsi="Times New Roman" w:cs="Times New Roman"/>
          <w:sz w:val="24"/>
          <w:szCs w:val="24"/>
        </w:rPr>
        <w:t xml:space="preserve">Hu, Y., Xu, Y., He, W., Zhang, C., Kang, X., Zeng, Y., Luo, J., Sun, Y., Zeng, H., Zhao, S., Yan, G., </w:t>
      </w:r>
      <w:r w:rsidRPr="00341DF6">
        <w:rPr>
          <w:rFonts w:ascii="Times New Roman" w:hAnsi="Times New Roman" w:cs="Times New Roman"/>
          <w:sz w:val="24"/>
          <w:szCs w:val="24"/>
        </w:rPr>
        <w:t>2020. The application of steranoid fingerprint compounds in the calculation of the single-layer productivity of heavy oil commingled producing wells in the Qinhuangdao 32-6 oilfield. Journal of Petroleum Science and Engineering 190, 107075.</w:t>
      </w:r>
    </w:p>
    <w:p w:rsidR="00672046" w:rsidRPr="00341DF6" w:rsidRDefault="00672046" w:rsidP="00672046">
      <w:pPr>
        <w:pStyle w:val="EndNoteBibliography"/>
        <w:spacing w:after="120"/>
        <w:rPr>
          <w:rFonts w:ascii="Times New Roman" w:hAnsi="Times New Roman" w:cs="Times New Roman"/>
          <w:sz w:val="24"/>
          <w:szCs w:val="24"/>
        </w:rPr>
      </w:pPr>
      <w:r w:rsidRPr="00341DF6">
        <w:rPr>
          <w:rFonts w:ascii="Times New Roman" w:hAnsi="Times New Roman" w:cs="Times New Roman"/>
          <w:sz w:val="24"/>
          <w:szCs w:val="24"/>
        </w:rPr>
        <w:t>Lawal, K.A., Yadua, A.U., Ovuru, M.I., Okoh, O.M., Eyitayo, S.I., Matemilola, S., Olamigoke, O., 2020. Rapid screening of oil-rim reservoirs for development and management. Journal of Petroleum Exploration and Production Technology 10, 1155-1168.</w:t>
      </w:r>
    </w:p>
    <w:p w:rsidR="0049088E" w:rsidRPr="00341DF6" w:rsidRDefault="0049088E" w:rsidP="0049088E">
      <w:pPr>
        <w:pStyle w:val="EndNoteBibliography"/>
        <w:spacing w:after="120"/>
        <w:rPr>
          <w:rFonts w:ascii="Times New Roman" w:hAnsi="Times New Roman" w:cs="Times New Roman"/>
          <w:sz w:val="24"/>
          <w:szCs w:val="24"/>
        </w:rPr>
      </w:pPr>
      <w:r w:rsidRPr="00341DF6">
        <w:rPr>
          <w:rFonts w:ascii="Times New Roman" w:hAnsi="Times New Roman" w:cs="Times New Roman"/>
          <w:sz w:val="24"/>
          <w:szCs w:val="24"/>
        </w:rPr>
        <w:t>Mi, J., Ye, D., Dai, Y., Xie, H., Wu, D., Sun, H., Guo, Y., Fang, W., 2020. Strategically designed macromolecules as additives for high energy-density hydrocarbon fuels. Fuel 270, 117433.</w:t>
      </w:r>
    </w:p>
    <w:p w:rsidR="0049088E" w:rsidRPr="00341DF6" w:rsidRDefault="0049088E" w:rsidP="0049088E">
      <w:pPr>
        <w:pStyle w:val="EndNoteBibliography"/>
        <w:spacing w:after="120"/>
        <w:rPr>
          <w:rFonts w:ascii="Times New Roman" w:hAnsi="Times New Roman" w:cs="Times New Roman"/>
          <w:sz w:val="24"/>
          <w:szCs w:val="24"/>
        </w:rPr>
      </w:pPr>
      <w:r w:rsidRPr="00341DF6">
        <w:rPr>
          <w:rFonts w:ascii="Times New Roman" w:hAnsi="Times New Roman" w:cs="Times New Roman"/>
          <w:sz w:val="24"/>
          <w:szCs w:val="24"/>
        </w:rPr>
        <w:t>Mukherjee, B., Roy, P.N.S., Sain, K., 2020. Delineation of hydrocarbon and non-hydrocarbon zones using fractal analysis of well-log data from Bhogpara oil field, NE India. Carbonates and Evaporites 35, 22.</w:t>
      </w:r>
    </w:p>
    <w:p w:rsidR="005D79ED" w:rsidRPr="00341DF6" w:rsidRDefault="005D79ED" w:rsidP="005D79ED">
      <w:pPr>
        <w:pStyle w:val="EndNoteBibliography"/>
        <w:spacing w:after="120"/>
        <w:rPr>
          <w:rFonts w:ascii="Times New Roman" w:hAnsi="Times New Roman" w:cs="Times New Roman"/>
          <w:sz w:val="24"/>
          <w:szCs w:val="24"/>
        </w:rPr>
      </w:pPr>
      <w:r w:rsidRPr="00341DF6">
        <w:rPr>
          <w:rFonts w:ascii="Times New Roman" w:hAnsi="Times New Roman" w:cs="Times New Roman"/>
          <w:sz w:val="24"/>
          <w:szCs w:val="24"/>
        </w:rPr>
        <w:t>Rossi, E., Jamali, S., Saar, M.O., Rudolf von Rohr, P., 2020. Field test of a Combined Thermo-Mechanical Drilling technology. ModeI: Thermal spallation drilling. Journal of Petroleum Science and Engineering 190, 107005.</w:t>
      </w:r>
    </w:p>
    <w:p w:rsidR="005D79ED" w:rsidRPr="00341DF6" w:rsidRDefault="005D79ED" w:rsidP="005D79ED">
      <w:pPr>
        <w:pStyle w:val="EndNoteBibliography"/>
        <w:spacing w:after="120"/>
        <w:rPr>
          <w:rFonts w:ascii="Times New Roman" w:hAnsi="Times New Roman" w:cs="Times New Roman"/>
          <w:sz w:val="24"/>
          <w:szCs w:val="24"/>
        </w:rPr>
      </w:pPr>
      <w:r w:rsidRPr="00341DF6">
        <w:rPr>
          <w:rFonts w:ascii="Times New Roman" w:hAnsi="Times New Roman" w:cs="Times New Roman"/>
          <w:sz w:val="24"/>
          <w:szCs w:val="24"/>
        </w:rPr>
        <w:t>Samanipour, S., Reid, M.J., Rundberget, J.T., Frost, T.K., Thomas, K.V., 2020. Concentration and distribution of naphthenic acids in the produced water from offshore Norwegian North Sea oilfields. Environmental Science &amp; Technology 54, 2707-2714.</w:t>
      </w:r>
    </w:p>
    <w:p w:rsidR="00123F4A" w:rsidRPr="00341DF6" w:rsidRDefault="00123F4A" w:rsidP="00123F4A">
      <w:pPr>
        <w:pStyle w:val="EndNoteBibliography"/>
        <w:spacing w:after="120"/>
        <w:rPr>
          <w:rFonts w:ascii="Times New Roman" w:hAnsi="Times New Roman" w:cs="Times New Roman"/>
          <w:sz w:val="24"/>
          <w:szCs w:val="24"/>
        </w:rPr>
      </w:pPr>
      <w:r w:rsidRPr="00341DF6">
        <w:rPr>
          <w:rFonts w:ascii="Times New Roman" w:hAnsi="Times New Roman" w:cs="Times New Roman"/>
          <w:sz w:val="24"/>
          <w:szCs w:val="24"/>
        </w:rPr>
        <w:t>Tang, X.-Q., Pu, J.-C., Zheng, H.-B., Yu, X.-D., Chen, X.-F., Yuan, P.-Q., Cheng, Z.-M., Yuan, W.-K., 2020. Demetallization of heavy oils of high metal content through pyrolysis under supercritical water environment. Energy &amp; Fuels 34, 2861-2869.</w:t>
      </w:r>
    </w:p>
    <w:p w:rsidR="00911845" w:rsidRPr="00341DF6" w:rsidRDefault="00911845" w:rsidP="00911845">
      <w:pPr>
        <w:pStyle w:val="EndNoteBibliography"/>
        <w:spacing w:after="120"/>
        <w:rPr>
          <w:rFonts w:ascii="Times New Roman" w:hAnsi="Times New Roman" w:cs="Times New Roman"/>
          <w:sz w:val="24"/>
          <w:szCs w:val="24"/>
        </w:rPr>
      </w:pPr>
      <w:r w:rsidRPr="00341DF6">
        <w:rPr>
          <w:rFonts w:ascii="Times New Roman" w:hAnsi="Times New Roman" w:cs="Times New Roman"/>
          <w:sz w:val="24"/>
          <w:szCs w:val="24"/>
        </w:rPr>
        <w:t xml:space="preserve">Yan, T., Wu, L., Wang, L., Fu, F., Fang, T.,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Desulfurization of sulfur-containing compounds in heavy oil in the presence of supercritical methanol. Energy &amp; Fuels 34, 2958-2968.</w:t>
      </w:r>
    </w:p>
    <w:p w:rsidR="00062542" w:rsidRPr="00AE0525" w:rsidRDefault="00062542" w:rsidP="00062542">
      <w:pPr>
        <w:widowControl/>
        <w:spacing w:before="0" w:after="240"/>
        <w:ind w:left="360" w:hanging="360"/>
      </w:pPr>
    </w:p>
    <w:p w:rsidR="00062542" w:rsidRDefault="00062542" w:rsidP="00062542">
      <w:pPr>
        <w:pStyle w:val="H3"/>
        <w:spacing w:before="0" w:after="240"/>
        <w:ind w:hanging="360"/>
      </w:pPr>
      <w:r>
        <w:t>Asphaltenes</w:t>
      </w:r>
    </w:p>
    <w:p w:rsidR="0017154A" w:rsidRPr="00341DF6" w:rsidRDefault="0017154A"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Chacón-Patiño, M.L., Smith, D.F., Hendrickson, C.L., Marshall, A.G., Rodgers, R.P., 2020. Advances in asphaltene petroleomics. Part 4. Compositional trends of solubility subfractions reveal that polyfunctional oxygen-containing compounds drive asphaltene chemistry. Energy &amp; Fuels 34, 3013-3030.</w:t>
      </w:r>
    </w:p>
    <w:p w:rsidR="0017154A" w:rsidRPr="00341DF6" w:rsidRDefault="0017154A"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lastRenderedPageBreak/>
        <w:t>Daryasafar, A., Masoudi, M., Kord, S., Madani, M., 2020. Evaluation of different thermodynamic models in predicting asphaltene precipitation: A comparative study. Fluid Phase Equilibria 514, 112557.</w:t>
      </w:r>
    </w:p>
    <w:p w:rsidR="0017154A" w:rsidRPr="00341DF6" w:rsidRDefault="0017154A"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Fakher, S., Ahdaya, M., Elturki, M., Imqam, A.,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An experimental investigation of asphaltene stability in heavy crude oil during carbon dioxide injection. Journal of Petroleum Exploration and Production Technology 10, 919-931.</w:t>
      </w:r>
    </w:p>
    <w:p w:rsidR="0017154A" w:rsidRPr="00341DF6" w:rsidRDefault="0017154A"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Fakher, S., Ahdaya, M., Elturki, M., Imqam, A.,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Critical review of asphaltene properties and factors impacting its stability in crude oil. Journal of Petroleum Exploration and Production Technology 10, 1183-1200.</w:t>
      </w:r>
    </w:p>
    <w:p w:rsidR="001467FF" w:rsidRPr="00341DF6" w:rsidRDefault="001467FF"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Fan, S., Liu, H., Wang, J., Chen, H., Bai, R., Guo, A., Chen, K., Huang, J., Wang, Z.,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Microwave-assisted petroporphyrin release from asphaltene aggregates in polar solvents. Energy &amp; Fuels 34, 2683-2692.</w:t>
      </w:r>
    </w:p>
    <w:p w:rsidR="001467FF" w:rsidRPr="00341DF6" w:rsidRDefault="001467FF"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Koryakina, V.V., Ivanova, I.K., Semenov, M.E., 2020. Kinetics features of natural gas hydrates crystallisation and dissociation in water/crude oil and water/asphaltene-resin-paraffin deposit emulsions. International Journal of Oil, Gas and Coal Technology 23, 169-185.</w:t>
      </w:r>
    </w:p>
    <w:p w:rsidR="001467FF" w:rsidRPr="00341DF6" w:rsidRDefault="001467FF"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Lim, S.H., Go, K.S., Kwon, E.H., Nho, N.S., Lee, J.G., 2020. Investigation of asphaltene dispersion stability in slurry-phase hydrocracking reaction. Fuel 271, 117509.</w:t>
      </w:r>
    </w:p>
    <w:p w:rsidR="00263C85" w:rsidRPr="00341DF6" w:rsidRDefault="00263C85"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Liu, D., Zhang, H., Li, C., Yang, F., Sun, G., Yao, B.,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Experimental investigation on the interactions between asphaltenes and comb-like octadecyl acrylate (OA) polymeric flow improvers at the model oil/water interface. Energy &amp; Fuels 34, 2693-2702.</w:t>
      </w:r>
    </w:p>
    <w:p w:rsidR="0017154A" w:rsidRPr="00341DF6" w:rsidRDefault="0017154A"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Mohammadi, M., Zirrahi, M., Hassanzadeh, H., 2020. Adsorption kinetics of asphaltenes at the heptol–water interface. Energy &amp; Fuels 34, 3144-3152.</w:t>
      </w:r>
    </w:p>
    <w:p w:rsidR="00BC6CFF" w:rsidRPr="00341DF6" w:rsidRDefault="00BC6CFF"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Shahebrahimi, Y., Fazlali, A., Motamedi, H., Kord, S., Mohammadi, A.H., 2020. Effect of various isolated microbial consortiums on the biodegradation process of precipitated asphaltenes from crude oil. ACS Omega 5, 3131-3143.</w:t>
      </w:r>
    </w:p>
    <w:p w:rsidR="0017154A" w:rsidRPr="00341DF6" w:rsidRDefault="0017154A"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Shahsavar, N., Riazi, M., Malayeri, M.R., 2020. Removal of asphaltene deposition in porous media using emulsified solvents - A visual study. Journal of Petroleum Science and Engineering 191, 107207.</w:t>
      </w:r>
    </w:p>
    <w:p w:rsidR="00062542" w:rsidRDefault="00062542" w:rsidP="00995666">
      <w:pPr>
        <w:spacing w:before="0" w:after="240"/>
        <w:ind w:left="360" w:hanging="360"/>
      </w:pPr>
    </w:p>
    <w:p w:rsidR="00062542" w:rsidRDefault="00062542" w:rsidP="00062542">
      <w:pPr>
        <w:pStyle w:val="H3"/>
        <w:spacing w:before="0" w:after="240"/>
        <w:ind w:hanging="360"/>
      </w:pPr>
      <w:r>
        <w:t>Interfaces/EOR</w:t>
      </w:r>
    </w:p>
    <w:p w:rsidR="00BB53BD" w:rsidRPr="00341DF6" w:rsidRDefault="00BB53B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Andersen, P.Ø., 2020. Capillary pressure effects on estimating the enhanced-oil-recovery potential during low-salinity and smart waterflooding. SPE-199344-PA 25, 481-496.</w:t>
      </w:r>
    </w:p>
    <w:p w:rsidR="00BB53BD" w:rsidRPr="00341DF6" w:rsidRDefault="00BB53B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Bai, S., Kubelka, J., Piri, M.,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Atomistic molecular dynamics simulations of surfactant-induced wettability alteration in crevices of calcite nanopores. Energy &amp; Fuels 34, 3135-3143.</w:t>
      </w:r>
    </w:p>
    <w:p w:rsidR="00DF0DA9" w:rsidRPr="00341DF6" w:rsidRDefault="00DF0DA9"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Iddphonce, R., Wang, J., Zhao, L., 2020. Review of CO</w:t>
      </w:r>
      <w:r w:rsidRPr="00341DF6">
        <w:rPr>
          <w:rFonts w:ascii="Times New Roman" w:hAnsi="Times New Roman" w:cs="Times New Roman"/>
          <w:sz w:val="24"/>
          <w:szCs w:val="24"/>
          <w:vertAlign w:val="subscript"/>
        </w:rPr>
        <w:t>2</w:t>
      </w:r>
      <w:r w:rsidRPr="00341DF6">
        <w:rPr>
          <w:rFonts w:ascii="Times New Roman" w:hAnsi="Times New Roman" w:cs="Times New Roman"/>
          <w:sz w:val="24"/>
          <w:szCs w:val="24"/>
        </w:rPr>
        <w:t xml:space="preserve"> injection techniques for enhanced shale gas recovery: Prospect and challenges. Journal of Natural Gas Science and Engineering 77, 103240.</w:t>
      </w:r>
    </w:p>
    <w:p w:rsidR="00672046" w:rsidRPr="00341DF6" w:rsidRDefault="00672046"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lastRenderedPageBreak/>
        <w:t>Koryakina, V.V., Ivanova, I.K., Semenov, M.E., 2020. Kinetics features of natural gas hydrates crystallisation and dissociation in water/crude oil and water/asphaltene-resin-paraffin deposit emulsions. International Journal of Oil, Gas and Coal Technology 23, 169-185.</w:t>
      </w:r>
    </w:p>
    <w:p w:rsidR="0064405D" w:rsidRPr="00341DF6" w:rsidRDefault="0064405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Loaiza, C.S., Patiño, J.F., Mejía, J.M., 2020. Numerical evaluation of a combined chemical enhanced oil recovery process with polymer and nanoparticles based on experimental observations. Journal of Petroleum Science and Engineering 191, 107166.</w:t>
      </w:r>
    </w:p>
    <w:p w:rsidR="0064405D" w:rsidRPr="00341DF6" w:rsidRDefault="0064405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Lv, Q., Zhou, T., Zhang, X., Zuo, B., Dong, Z., Zhang, J., 2020. Enhanced oil recovery using aqueous CO</w:t>
      </w:r>
      <w:r w:rsidRPr="00341DF6">
        <w:rPr>
          <w:rFonts w:ascii="Times New Roman" w:hAnsi="Times New Roman" w:cs="Times New Roman"/>
          <w:sz w:val="24"/>
          <w:szCs w:val="24"/>
          <w:vertAlign w:val="subscript"/>
        </w:rPr>
        <w:t>2</w:t>
      </w:r>
      <w:r w:rsidRPr="00341DF6">
        <w:rPr>
          <w:rFonts w:ascii="Times New Roman" w:hAnsi="Times New Roman" w:cs="Times New Roman"/>
          <w:sz w:val="24"/>
          <w:szCs w:val="24"/>
        </w:rPr>
        <w:t xml:space="preserve"> foam stabilized by particulate matter from coal combustion. Energy &amp; Fuels 34, 2880-2892.</w:t>
      </w:r>
    </w:p>
    <w:p w:rsidR="0049088E" w:rsidRPr="00341DF6" w:rsidRDefault="0049088E"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Mohammadi, M., Zirrahi, M., Hassanzadeh, H., 2020. Adsorption kinetics of asphaltenes at the heptol–water interface. Energy &amp; Fuels 34, 3144-3152.</w:t>
      </w:r>
    </w:p>
    <w:p w:rsidR="00F407FD" w:rsidRPr="00341DF6" w:rsidRDefault="00F407F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Pourhadi, S., Hashemi Fath, A., 2020. Performance of the injection of different gases for enhanced oil recovery in a compositionally grading oil reservoir. Journal of Petroleum Exploration and Production Technology 10, 641-661.</w:t>
      </w:r>
    </w:p>
    <w:p w:rsidR="00F407FD" w:rsidRPr="00341DF6" w:rsidRDefault="00F407F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Rognmo, A.U., Al-Khayyat, N., Heldal, S., Vikingstad, I., Eide, Ø., Fredriksen, S.B., Alcorn, Z.P., Graue, A., Bryant, S.L., Kovscek, A.R., Fernø, M.A., 2020. Performance of silica nanoparticles in CO</w:t>
      </w:r>
      <w:r w:rsidRPr="00341DF6">
        <w:rPr>
          <w:rFonts w:ascii="Times New Roman" w:hAnsi="Times New Roman" w:cs="Times New Roman"/>
          <w:sz w:val="24"/>
          <w:szCs w:val="24"/>
          <w:vertAlign w:val="subscript"/>
        </w:rPr>
        <w:t>2</w:t>
      </w:r>
      <w:r w:rsidRPr="00341DF6">
        <w:rPr>
          <w:rFonts w:ascii="Times New Roman" w:hAnsi="Times New Roman" w:cs="Times New Roman"/>
          <w:sz w:val="24"/>
          <w:szCs w:val="24"/>
        </w:rPr>
        <w:t xml:space="preserve"> foam for EOR and CCUS at tough reservoir conditions. SPE-199344-PA 25, 406-415.</w:t>
      </w:r>
    </w:p>
    <w:p w:rsidR="005D79ED" w:rsidRPr="00341DF6" w:rsidRDefault="005D79E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Sagala, F., Hethnawi, A., Nassar, N.N., 2020. Hydroxyl-functionalized silicate-based nanofluids for enhanced oil recovery. Fuel 269, 117462.</w:t>
      </w:r>
    </w:p>
    <w:p w:rsidR="005D79ED" w:rsidRPr="00341DF6" w:rsidRDefault="005D79E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Selvaraj, G., Maulianda, B., Wee, S.C., Akhir, N.A.M., Elraies, K.A., Malakooti, R., Prakasan, A., 2020. Experimental study of nanoparticles as catalyst in enhancing matrix acidizing for carbonate reservoir. Journal of Petroleum Exploration and Production Technology 10, 1145-1153.</w:t>
      </w:r>
    </w:p>
    <w:p w:rsidR="00BC6CFF" w:rsidRPr="00341DF6" w:rsidRDefault="00BC6CFF"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Sminchak, J.R., Mawalkar, S., Gupta, N., 2020. Large CO</w:t>
      </w:r>
      <w:r w:rsidRPr="00341DF6">
        <w:rPr>
          <w:rFonts w:ascii="Times New Roman" w:hAnsi="Times New Roman" w:cs="Times New Roman"/>
          <w:sz w:val="24"/>
          <w:szCs w:val="24"/>
          <w:vertAlign w:val="subscript"/>
        </w:rPr>
        <w:t>2</w:t>
      </w:r>
      <w:r w:rsidRPr="00341DF6">
        <w:rPr>
          <w:rFonts w:ascii="Times New Roman" w:hAnsi="Times New Roman" w:cs="Times New Roman"/>
          <w:sz w:val="24"/>
          <w:szCs w:val="24"/>
        </w:rPr>
        <w:t xml:space="preserve"> storage volumes result in net negative emissions for greenhouse gas life cycle analysis based on records from 22 years of CO</w:t>
      </w:r>
      <w:r w:rsidRPr="00341DF6">
        <w:rPr>
          <w:rFonts w:ascii="Times New Roman" w:hAnsi="Times New Roman" w:cs="Times New Roman"/>
          <w:sz w:val="24"/>
          <w:szCs w:val="24"/>
          <w:vertAlign w:val="subscript"/>
        </w:rPr>
        <w:t>2</w:t>
      </w:r>
      <w:r w:rsidRPr="00341DF6">
        <w:rPr>
          <w:rFonts w:ascii="Times New Roman" w:hAnsi="Times New Roman" w:cs="Times New Roman"/>
          <w:sz w:val="24"/>
          <w:szCs w:val="24"/>
        </w:rPr>
        <w:t>-enhanced oil recovery operations. Energy &amp; Fuels 34, 3566-3577.</w:t>
      </w:r>
    </w:p>
    <w:p w:rsidR="00BC6CFF" w:rsidRPr="00341DF6" w:rsidRDefault="00BC6CFF"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Song, J., Rezaee, S., Guo, W., Hernandez, B., Puerto, M., Vargas, F.M., Hirasaki, G.J., Biswal, S.L.,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Evaluating physicochemical properties of crude oil as indicators of low-salinity–induced wettability alteration in carbonate minerals. Scientific Reports 10, 3762.</w:t>
      </w:r>
    </w:p>
    <w:p w:rsidR="00123F4A" w:rsidRPr="00341DF6" w:rsidRDefault="00123F4A"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Szczerba, M., McCarty, D.K., Derkowski, A., Kowalik, M., 2020. Molecular dynamics simulations of interactions of organic molecules found in oil with smectite: Influence of brine chemistry on oil recovery. Journal of Petroleum Science and Engineering 191, 107148.</w:t>
      </w:r>
    </w:p>
    <w:p w:rsidR="00123F4A" w:rsidRPr="00341DF6" w:rsidRDefault="00123F4A"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Tetteh, J.T., Veisi, M., Brady, P.V., Barati Ghahfarokhi, R., 2020. Surface reactivity analysis of the crude oil–brine–limestone interface for a comprehensive understanding of the low-salinity waterflooding mechanism. Energy &amp; Fuels 34, 2739-2756.</w:t>
      </w:r>
    </w:p>
    <w:p w:rsidR="00911845" w:rsidRPr="00341DF6" w:rsidRDefault="00911845"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lastRenderedPageBreak/>
        <w:t xml:space="preserve">Zeng, L., Reid, N., Lu, Y., Hossain, M.M., Saeedi, A., Xie, Q.,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Effect of the fluid–shale interaction on salinity: Implications for high-salinity flowback water during hydraulic fracturing in shales. Energy &amp; Fuels 34, 3031-3040.</w:t>
      </w:r>
    </w:p>
    <w:p w:rsidR="00C90188" w:rsidRPr="00341DF6" w:rsidRDefault="00C90188"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Zhong, X., Li, C., Li, Y., Pu, H., Zhou, Y., Zhao, J.X., 2020. Enhanced oil recovery in high salinity and elevated temperature conditions with a zwitterionic surfactant and silica nanoparticles acting in synergy. Energy &amp; Fuels 34, 2893-2902.</w:t>
      </w:r>
    </w:p>
    <w:p w:rsidR="00062542" w:rsidRDefault="00062542" w:rsidP="00062542">
      <w:pPr>
        <w:spacing w:before="0" w:after="240"/>
        <w:ind w:left="720" w:hanging="360"/>
        <w:rPr>
          <w:noProof/>
        </w:rPr>
      </w:pPr>
    </w:p>
    <w:p w:rsidR="00062542" w:rsidRDefault="00062542" w:rsidP="00062542">
      <w:pPr>
        <w:pStyle w:val="H3"/>
        <w:spacing w:before="0" w:after="240"/>
        <w:ind w:hanging="360"/>
      </w:pPr>
      <w:r>
        <w:t>Heavy Oil Production</w:t>
      </w:r>
    </w:p>
    <w:p w:rsidR="006A33BC" w:rsidRPr="00341DF6" w:rsidRDefault="006A33BC"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Ghalenavi, H., Norouzi-Apourvari, S., Schaffie, M., Ranjbar, M., 2020. Significant effect of compositional grading on SAGD performance in a fractured carbonate heavy oil reservoir. Journal of Petroleum Exploration and Production Technology 10, 903-910.</w:t>
      </w:r>
    </w:p>
    <w:p w:rsidR="0064405D" w:rsidRPr="00341DF6" w:rsidRDefault="0064405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Li, X., 2020. Accumulation conditions and key exploration &amp; development technologies of heavy oil in Huanxiling oilfield in Liaohe depression, Bohai Bay Basin. Petroleum Research 5, 18-38.</w:t>
      </w:r>
    </w:p>
    <w:p w:rsidR="00F407FD" w:rsidRPr="00341DF6" w:rsidRDefault="00F407F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Ojumoola, O., Ma, H., Gu, Y., 2020. Solvent-assisted water pressure cycling (SA-WPC) process in a thin heavy oil reservoir. Fuel 270, 117195.</w:t>
      </w:r>
    </w:p>
    <w:p w:rsidR="00911845" w:rsidRPr="00341DF6" w:rsidRDefault="00911845"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Yi, S., Babadagli, T., Li, H.A., 2020. Catalytic-effect comparison between nickel and iron oxide nanoparticles during aquathermolysis-aided cyclic steam stimulation. SPE-197069-PA 23, 282-291.</w:t>
      </w:r>
    </w:p>
    <w:p w:rsidR="00062542" w:rsidRDefault="00062542" w:rsidP="00062542">
      <w:pPr>
        <w:spacing w:before="0" w:after="240"/>
        <w:ind w:left="720" w:hanging="360"/>
      </w:pPr>
    </w:p>
    <w:p w:rsidR="001A3A58" w:rsidRDefault="001A3A58" w:rsidP="008741AD">
      <w:pPr>
        <w:pStyle w:val="H2"/>
        <w:spacing w:before="0" w:after="240"/>
        <w:ind w:left="720" w:hanging="720"/>
        <w:outlineLvl w:val="0"/>
      </w:pPr>
      <w:r>
        <w:t>Recent Sediments</w:t>
      </w:r>
    </w:p>
    <w:p w:rsidR="00BB53BD" w:rsidRPr="00341DF6" w:rsidRDefault="00BB53BD" w:rsidP="00BB53BD">
      <w:pPr>
        <w:pStyle w:val="EndNoteBibliography"/>
        <w:spacing w:after="120"/>
        <w:rPr>
          <w:rFonts w:ascii="Times New Roman" w:hAnsi="Times New Roman" w:cs="Times New Roman"/>
          <w:sz w:val="24"/>
          <w:szCs w:val="24"/>
        </w:rPr>
      </w:pPr>
      <w:r w:rsidRPr="00341DF6">
        <w:rPr>
          <w:rFonts w:ascii="Times New Roman" w:hAnsi="Times New Roman" w:cs="Times New Roman"/>
          <w:sz w:val="24"/>
          <w:szCs w:val="24"/>
        </w:rPr>
        <w:t>Afouda, P., Dubourg, G., Raoult, D., 2020. Archeomicrobiology applied to environmental samples. Microbial Pathogenesis 143, 104140.</w:t>
      </w:r>
    </w:p>
    <w:p w:rsidR="00BB53BD" w:rsidRPr="00341DF6" w:rsidRDefault="00BB53BD" w:rsidP="00BB53BD">
      <w:pPr>
        <w:pStyle w:val="EndNoteBibliography"/>
        <w:spacing w:after="120"/>
        <w:rPr>
          <w:rFonts w:ascii="Times New Roman" w:hAnsi="Times New Roman" w:cs="Times New Roman"/>
          <w:sz w:val="24"/>
          <w:szCs w:val="24"/>
        </w:rPr>
      </w:pPr>
      <w:r w:rsidRPr="00341DF6">
        <w:rPr>
          <w:rFonts w:ascii="Times New Roman" w:hAnsi="Times New Roman" w:cs="Times New Roman"/>
          <w:sz w:val="24"/>
          <w:szCs w:val="24"/>
        </w:rPr>
        <w:t>Atwood, T.B., Witt, A., Mayorga, J., Hammill, E., Sala, E., 2020. Global patterns in marine sediment carbon stocks. Frontiers in Marine Science 7, 165. doi: 110.3389/fmars.2020.00165.</w:t>
      </w:r>
    </w:p>
    <w:p w:rsidR="0032333B" w:rsidRPr="00341DF6" w:rsidRDefault="0032333B" w:rsidP="0032333B">
      <w:pPr>
        <w:pStyle w:val="EndNoteBibliography"/>
        <w:spacing w:after="120"/>
        <w:rPr>
          <w:rFonts w:ascii="Times New Roman" w:hAnsi="Times New Roman" w:cs="Times New Roman"/>
          <w:sz w:val="24"/>
          <w:szCs w:val="24"/>
        </w:rPr>
      </w:pPr>
      <w:r w:rsidRPr="00341DF6">
        <w:rPr>
          <w:rFonts w:ascii="Times New Roman" w:hAnsi="Times New Roman" w:cs="Times New Roman"/>
          <w:sz w:val="24"/>
          <w:szCs w:val="24"/>
        </w:rPr>
        <w:t>Becker, S., Tebben, J., Coffinet, S., Wiltshire, K., Iversen, M.H., Harder, T., Hinrichs, K.-U., Hehemann, J.-H., 2020. Laminarin is a major molecule in the marine carbon cycle. Proceedings of the National Academy of Sciences 117, 6599-6607.</w:t>
      </w:r>
    </w:p>
    <w:p w:rsidR="00F55A9D" w:rsidRPr="00341DF6" w:rsidRDefault="00F55A9D" w:rsidP="00F55A9D">
      <w:pPr>
        <w:pStyle w:val="EndNoteBibliography"/>
        <w:spacing w:after="120"/>
        <w:rPr>
          <w:rFonts w:ascii="Times New Roman" w:hAnsi="Times New Roman" w:cs="Times New Roman"/>
          <w:sz w:val="24"/>
          <w:szCs w:val="24"/>
        </w:rPr>
      </w:pPr>
      <w:r w:rsidRPr="00341DF6">
        <w:rPr>
          <w:rFonts w:ascii="Times New Roman" w:hAnsi="Times New Roman" w:cs="Times New Roman"/>
          <w:sz w:val="24"/>
          <w:szCs w:val="24"/>
        </w:rPr>
        <w:t>Cabral, A.C., Dauner, A.L.L., Xavier, F.C.B., Garcia, M.R.D., Wilhelm, M.M., dos Santos, V.C.G., Netto, S.A., Martins, C.C., 2020. Tracking the sources of allochthonous organic matter along a subtropical fluvial-estuarine gradient using molecular proxies in view of land uses. Chemosphere 251, 126435.</w:t>
      </w:r>
    </w:p>
    <w:p w:rsidR="005C5B53" w:rsidRPr="00341DF6" w:rsidRDefault="005C5B53" w:rsidP="005C5B53">
      <w:pPr>
        <w:pStyle w:val="EndNoteBibliography"/>
        <w:spacing w:after="120"/>
        <w:rPr>
          <w:rFonts w:ascii="Times New Roman" w:hAnsi="Times New Roman" w:cs="Times New Roman"/>
          <w:sz w:val="24"/>
          <w:szCs w:val="24"/>
        </w:rPr>
      </w:pPr>
      <w:r w:rsidRPr="00341DF6">
        <w:rPr>
          <w:rFonts w:ascii="Times New Roman" w:hAnsi="Times New Roman" w:cs="Times New Roman"/>
          <w:sz w:val="24"/>
          <w:szCs w:val="24"/>
        </w:rPr>
        <w:t>Der Sarkissian, C., Möller, P., Hofman, C.A., Ilsøe, P., Rick, T.C., Schiøtte, T., Sørensen, M.V., Dalén, L., Orlando, L., 2020. Unveiling the ecological applications of ancient DNA from mollusk shells. Frontiers in Ecology and Evolution 8, 37. doi: 10.3389/fevo.2020.00037.</w:t>
      </w:r>
    </w:p>
    <w:p w:rsidR="006A33BC" w:rsidRPr="00341DF6" w:rsidRDefault="006A33BC" w:rsidP="006A33BC">
      <w:pPr>
        <w:pStyle w:val="EndNoteBibliography"/>
        <w:spacing w:after="120"/>
        <w:rPr>
          <w:rFonts w:ascii="Times New Roman" w:hAnsi="Times New Roman" w:cs="Times New Roman"/>
          <w:sz w:val="24"/>
          <w:szCs w:val="24"/>
        </w:rPr>
      </w:pPr>
      <w:r w:rsidRPr="00341DF6">
        <w:rPr>
          <w:rFonts w:ascii="Times New Roman" w:hAnsi="Times New Roman" w:cs="Times New Roman"/>
          <w:sz w:val="24"/>
          <w:szCs w:val="24"/>
        </w:rPr>
        <w:t xml:space="preserve">Duvert, C., Hutley, L.B., Birkel, C., Rudge, M., Munksgaard, N.C., Wynn, J.G., Setterfield, S.A., Cendón, D.I., Bird, M.I., 2020. Seasonal shift from biogenic to geogenic fluvial carbon caused </w:t>
      </w:r>
      <w:r w:rsidRPr="00341DF6">
        <w:rPr>
          <w:rFonts w:ascii="Times New Roman" w:hAnsi="Times New Roman" w:cs="Times New Roman"/>
          <w:sz w:val="24"/>
          <w:szCs w:val="24"/>
        </w:rPr>
        <w:lastRenderedPageBreak/>
        <w:t>by changing water sources in the wet-dry tropics. Journal of Geophysical Research: Biogeosciences 125, e2019JG005384.</w:t>
      </w:r>
    </w:p>
    <w:p w:rsidR="006A33BC" w:rsidRPr="00341DF6" w:rsidRDefault="006A33BC" w:rsidP="006A33BC">
      <w:pPr>
        <w:pStyle w:val="EndNoteBibliography"/>
        <w:spacing w:after="120"/>
        <w:rPr>
          <w:rFonts w:ascii="Times New Roman" w:hAnsi="Times New Roman" w:cs="Times New Roman"/>
          <w:sz w:val="24"/>
          <w:szCs w:val="24"/>
        </w:rPr>
      </w:pPr>
      <w:r w:rsidRPr="00341DF6">
        <w:rPr>
          <w:rFonts w:ascii="Times New Roman" w:hAnsi="Times New Roman" w:cs="Times New Roman"/>
          <w:sz w:val="24"/>
          <w:szCs w:val="24"/>
        </w:rPr>
        <w:t>Fox, P.M., Bill, M., Heckman, K., Conrad, M., Anderson, C., Keiluweit, M., Nico, P.S., 2020. Shale as a source of organic carbon in floodplain sediments of a mountainous watershed. Journal of Geophysical Research: Biogeosciences 125, e2019JG005419.</w:t>
      </w:r>
    </w:p>
    <w:p w:rsidR="006A33BC" w:rsidRPr="00341DF6" w:rsidRDefault="006A33BC" w:rsidP="006A33BC">
      <w:pPr>
        <w:pStyle w:val="EndNoteBibliography"/>
        <w:spacing w:after="120"/>
        <w:rPr>
          <w:rFonts w:ascii="Times New Roman" w:hAnsi="Times New Roman" w:cs="Times New Roman"/>
          <w:sz w:val="24"/>
          <w:szCs w:val="24"/>
        </w:rPr>
      </w:pPr>
      <w:r w:rsidRPr="00341DF6">
        <w:rPr>
          <w:rFonts w:ascii="Times New Roman" w:hAnsi="Times New Roman" w:cs="Times New Roman"/>
          <w:sz w:val="24"/>
          <w:szCs w:val="24"/>
        </w:rPr>
        <w:t xml:space="preserve">Fu, W., Qi, Y., Liu, Y., Wang, X., Druffel, E.M., Xu, X., Ren, P., Sun, S., Fan, D.,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Production of ancient dissolved organic carbon in Arctic Ocean sediment: A pathway of carbon cycling in the extreme environment. Geophysical Research Letters 47, e2020GL087119.</w:t>
      </w:r>
    </w:p>
    <w:p w:rsidR="00DF0DA9" w:rsidRPr="00341DF6" w:rsidRDefault="00DF0DA9" w:rsidP="00DF0DA9">
      <w:pPr>
        <w:pStyle w:val="EndNoteBibliography"/>
        <w:spacing w:after="120"/>
        <w:rPr>
          <w:rFonts w:ascii="Times New Roman" w:hAnsi="Times New Roman" w:cs="Times New Roman"/>
          <w:sz w:val="24"/>
          <w:szCs w:val="24"/>
        </w:rPr>
      </w:pPr>
      <w:r w:rsidRPr="00341DF6">
        <w:rPr>
          <w:rFonts w:ascii="Times New Roman" w:hAnsi="Times New Roman" w:cs="Times New Roman"/>
          <w:sz w:val="24"/>
          <w:szCs w:val="24"/>
        </w:rPr>
        <w:t xml:space="preserve">He, W., Wang, G., Wang, Y., Wei, Z., Huang, Z., Zhang, T., Ma, X., Ma, H., Yu, X.,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Microbial communities and lipid records of the Linxia Basin, NE Tibetan Plateau: Implications for enhanced aridity in the Late Miocene. Journal of Asian Earth Sciences 193, 104290.</w:t>
      </w:r>
    </w:p>
    <w:p w:rsidR="00DF0DA9" w:rsidRPr="00341DF6" w:rsidRDefault="00DF0DA9" w:rsidP="00DF0DA9">
      <w:pPr>
        <w:pStyle w:val="EndNoteBibliography"/>
        <w:spacing w:after="120"/>
        <w:rPr>
          <w:rFonts w:ascii="Times New Roman" w:hAnsi="Times New Roman" w:cs="Times New Roman"/>
          <w:sz w:val="24"/>
          <w:szCs w:val="24"/>
        </w:rPr>
      </w:pPr>
      <w:r w:rsidRPr="00341DF6">
        <w:rPr>
          <w:rFonts w:ascii="Times New Roman" w:hAnsi="Times New Roman" w:cs="Times New Roman"/>
          <w:sz w:val="24"/>
          <w:szCs w:val="24"/>
        </w:rPr>
        <w:t xml:space="preserve">He, Y., Wang, H., Meng, B., Liu, H., Zhou, A., Song, M., Kolpakova, M., Krivonogov, S., Liu, W., Liu, Z.,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Appraisal of alkenone- and archaeal ether-based salinity indicators in mid-latitude Asian lakes. Earth and Planetary Science Letters 538, 116236.</w:t>
      </w:r>
    </w:p>
    <w:p w:rsidR="00672046" w:rsidRPr="00341DF6" w:rsidRDefault="00672046" w:rsidP="00672046">
      <w:pPr>
        <w:pStyle w:val="EndNoteBibliography"/>
        <w:spacing w:after="120"/>
        <w:rPr>
          <w:rFonts w:ascii="Times New Roman" w:hAnsi="Times New Roman" w:cs="Times New Roman"/>
          <w:sz w:val="24"/>
          <w:szCs w:val="24"/>
        </w:rPr>
      </w:pPr>
      <w:r w:rsidRPr="00341DF6">
        <w:rPr>
          <w:rFonts w:ascii="Times New Roman" w:hAnsi="Times New Roman" w:cs="Times New Roman"/>
          <w:sz w:val="24"/>
          <w:szCs w:val="24"/>
        </w:rPr>
        <w:t>Kamula, C.M., Macdonald, R.W., Kuzyk, Z.Z.A., 2020. Sediment and particulate organic carbon budgets of a subarctic estuarine fjard: Lake Melville, Labrador. Marine Geology 424, 106154.</w:t>
      </w:r>
    </w:p>
    <w:p w:rsidR="00672046" w:rsidRPr="00341DF6" w:rsidRDefault="00672046" w:rsidP="00672046">
      <w:pPr>
        <w:pStyle w:val="EndNoteBibliography"/>
        <w:spacing w:after="120"/>
        <w:rPr>
          <w:rFonts w:ascii="Times New Roman" w:hAnsi="Times New Roman" w:cs="Times New Roman"/>
          <w:sz w:val="24"/>
          <w:szCs w:val="24"/>
        </w:rPr>
      </w:pPr>
      <w:r w:rsidRPr="00341DF6">
        <w:rPr>
          <w:rFonts w:ascii="Times New Roman" w:hAnsi="Times New Roman" w:cs="Times New Roman"/>
          <w:sz w:val="24"/>
          <w:szCs w:val="24"/>
        </w:rPr>
        <w:t>Klunder, L., de Stigter, H., Lavaleye, M.S.S., van Bleijswijk, J.D.L., van der Veer, H.W., Reichart, G.-J., Duineveld, G.C.A., 2020. A molecular approach to explore the background benthic fauna around a hydrothermal vent and their larvae: Implications for future mining of deep-sea SMS deposits. Frontiers in Marine Science 7, 134. doi: 110.3389/fmars.2020.00134.</w:t>
      </w:r>
    </w:p>
    <w:p w:rsidR="00672046" w:rsidRPr="00341DF6" w:rsidRDefault="00672046" w:rsidP="00672046">
      <w:pPr>
        <w:pStyle w:val="EndNoteBibliography"/>
        <w:spacing w:after="120"/>
        <w:rPr>
          <w:rFonts w:ascii="Times New Roman" w:hAnsi="Times New Roman" w:cs="Times New Roman"/>
          <w:sz w:val="24"/>
          <w:szCs w:val="24"/>
        </w:rPr>
      </w:pPr>
      <w:r w:rsidRPr="00341DF6">
        <w:rPr>
          <w:rFonts w:ascii="Times New Roman" w:hAnsi="Times New Roman" w:cs="Times New Roman"/>
          <w:sz w:val="24"/>
          <w:szCs w:val="24"/>
        </w:rPr>
        <w:t>Krajewska, M., Szymczak-Żyła, M., Tylmann, W., Kowalewska, G., 2020. Climate change impact on primary production and phytoplankton taxonomy in Western Spitsbergen fjords based on pigments in sediments. Global and Planetary Change 189, 103158.</w:t>
      </w:r>
    </w:p>
    <w:p w:rsidR="00672046" w:rsidRPr="00341DF6" w:rsidRDefault="00672046" w:rsidP="00672046">
      <w:pPr>
        <w:pStyle w:val="EndNoteBibliography"/>
        <w:spacing w:after="120"/>
        <w:rPr>
          <w:rFonts w:ascii="Times New Roman" w:hAnsi="Times New Roman" w:cs="Times New Roman"/>
          <w:sz w:val="24"/>
          <w:szCs w:val="24"/>
        </w:rPr>
      </w:pPr>
      <w:r w:rsidRPr="00341DF6">
        <w:rPr>
          <w:rFonts w:ascii="Times New Roman" w:hAnsi="Times New Roman" w:cs="Times New Roman"/>
          <w:sz w:val="24"/>
          <w:szCs w:val="24"/>
        </w:rPr>
        <w:t>LaRowe, D.E., Arndt, S., Bradley, J.A., Estes, E.R., Hoarfrost, A., Lang, S.Q., Lloyd, K.G., Mahmoudi, N., Orsi, W.D., Shah Walter, S.R., Steen, A.D., Zhao, R., 2020. The fate of organic carbon in marine sediments - New insights from recent data and analysis. Earth-Science Reviews 204, 103146.</w:t>
      </w:r>
    </w:p>
    <w:p w:rsidR="0064405D" w:rsidRPr="00341DF6" w:rsidRDefault="0064405D" w:rsidP="0064405D">
      <w:pPr>
        <w:pStyle w:val="EndNoteBibliography"/>
        <w:spacing w:after="120"/>
        <w:rPr>
          <w:rFonts w:ascii="Times New Roman" w:hAnsi="Times New Roman" w:cs="Times New Roman"/>
          <w:sz w:val="24"/>
          <w:szCs w:val="24"/>
        </w:rPr>
      </w:pPr>
      <w:r w:rsidRPr="00341DF6">
        <w:rPr>
          <w:rFonts w:ascii="Times New Roman" w:hAnsi="Times New Roman" w:cs="Times New Roman"/>
          <w:sz w:val="24"/>
          <w:szCs w:val="24"/>
        </w:rPr>
        <w:t xml:space="preserve">Lin, B., Liu, Z., Eglinton, T.I., Kandasamy, S., Blattmann, T.M., Haghipour, N., Huang, K.-F., You, C.-F.,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Island-wide variation in provenance of riverine sedimentary organic carbon: A case study from Taiwan. Earth and Planetary Science Letters 539, 116238.</w:t>
      </w:r>
    </w:p>
    <w:p w:rsidR="0064405D" w:rsidRPr="00341DF6" w:rsidRDefault="0064405D" w:rsidP="0064405D">
      <w:pPr>
        <w:pStyle w:val="EndNoteBibliography"/>
        <w:spacing w:after="120"/>
        <w:rPr>
          <w:rFonts w:ascii="Times New Roman" w:hAnsi="Times New Roman" w:cs="Times New Roman"/>
          <w:sz w:val="24"/>
          <w:szCs w:val="24"/>
        </w:rPr>
      </w:pPr>
      <w:r w:rsidRPr="00341DF6">
        <w:rPr>
          <w:rFonts w:ascii="Times New Roman" w:hAnsi="Times New Roman" w:cs="Times New Roman"/>
          <w:sz w:val="24"/>
          <w:szCs w:val="24"/>
        </w:rPr>
        <w:t xml:space="preserve">Liu, B., He, Y., Zhang, Y., Sun, Y., Wang, Y., He, D.,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Natural and anthropogenic organic matter cycling between coastal wetlands and rivers: a case study from Liao River Delta. Estuarine, Coastal and Shelf Science 236, 106610.</w:t>
      </w:r>
    </w:p>
    <w:p w:rsidR="0064405D" w:rsidRPr="00341DF6" w:rsidRDefault="0064405D" w:rsidP="0064405D">
      <w:pPr>
        <w:pStyle w:val="EndNoteBibliography"/>
        <w:spacing w:after="120"/>
        <w:rPr>
          <w:rFonts w:ascii="Times New Roman" w:hAnsi="Times New Roman" w:cs="Times New Roman"/>
          <w:sz w:val="24"/>
          <w:szCs w:val="24"/>
        </w:rPr>
      </w:pPr>
      <w:r w:rsidRPr="00341DF6">
        <w:rPr>
          <w:rFonts w:ascii="Times New Roman" w:hAnsi="Times New Roman" w:cs="Times New Roman"/>
          <w:sz w:val="24"/>
          <w:szCs w:val="24"/>
        </w:rPr>
        <w:t xml:space="preserve">Liu, X., Li, A., Ma, Z., Dong, J., Zhang, K., Xu, F., Wang, H.,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 xml:space="preserve">Constraint of sedimentary processes on the sulfur isotope of authigenic pyrite. Acta Sedimentologica Sinica 38, 124-137 </w:t>
      </w:r>
    </w:p>
    <w:p w:rsidR="00F15A92" w:rsidRPr="00341DF6" w:rsidRDefault="00F15A92" w:rsidP="00F15A92">
      <w:pPr>
        <w:pStyle w:val="EndNoteBibliography"/>
        <w:spacing w:after="120"/>
        <w:rPr>
          <w:rFonts w:ascii="Times New Roman" w:hAnsi="Times New Roman" w:cs="Times New Roman"/>
          <w:sz w:val="24"/>
          <w:szCs w:val="24"/>
        </w:rPr>
      </w:pPr>
      <w:r w:rsidRPr="00341DF6">
        <w:rPr>
          <w:rFonts w:ascii="Times New Roman" w:hAnsi="Times New Roman" w:cs="Times New Roman"/>
          <w:sz w:val="24"/>
          <w:szCs w:val="24"/>
        </w:rPr>
        <w:t xml:space="preserve">Ma, Y., Wang, Z., Ma, T., Chen, S.,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Spatial distribution characteristics and influencing factors of organic carbon in sediments of Tongshun River riparian zone. Chemosphere 252, 126322.</w:t>
      </w:r>
    </w:p>
    <w:p w:rsidR="003316B7" w:rsidRPr="00341DF6" w:rsidRDefault="003316B7" w:rsidP="003316B7">
      <w:pPr>
        <w:pStyle w:val="EndNoteBibliography"/>
        <w:spacing w:after="120"/>
        <w:rPr>
          <w:rFonts w:ascii="Times New Roman" w:hAnsi="Times New Roman" w:cs="Times New Roman"/>
          <w:sz w:val="24"/>
          <w:szCs w:val="24"/>
        </w:rPr>
      </w:pPr>
      <w:r w:rsidRPr="00341DF6">
        <w:rPr>
          <w:rFonts w:ascii="Times New Roman" w:hAnsi="Times New Roman" w:cs="Times New Roman"/>
          <w:sz w:val="24"/>
          <w:szCs w:val="24"/>
        </w:rPr>
        <w:t>Napier, J.D., de Lafontaine, G., Chipman, M.L., 2020. The evolution of paleoecology. Trends in Ecology &amp; Evolution 35, 293-295.</w:t>
      </w:r>
    </w:p>
    <w:p w:rsidR="00F407FD" w:rsidRPr="00341DF6" w:rsidRDefault="00F407FD" w:rsidP="00F407FD">
      <w:pPr>
        <w:pStyle w:val="EndNoteBibliography"/>
        <w:spacing w:after="120"/>
        <w:rPr>
          <w:rFonts w:ascii="Times New Roman" w:hAnsi="Times New Roman" w:cs="Times New Roman"/>
          <w:sz w:val="24"/>
          <w:szCs w:val="24"/>
        </w:rPr>
      </w:pPr>
      <w:r w:rsidRPr="00341DF6">
        <w:rPr>
          <w:rFonts w:ascii="Times New Roman" w:hAnsi="Times New Roman" w:cs="Times New Roman"/>
          <w:sz w:val="24"/>
          <w:szCs w:val="24"/>
        </w:rPr>
        <w:lastRenderedPageBreak/>
        <w:t>Peck, E.K., Wheatcroft, R.A., Brophy, L.S., 2020. Controls on sediment accretion and blue carbon burial in tidal saline wetlands: Insights from the Oregon coast, USA. Journal of Geophysical Research: Biogeosciences 125, e2019JG005464.</w:t>
      </w:r>
    </w:p>
    <w:p w:rsidR="00F407FD" w:rsidRPr="00341DF6" w:rsidRDefault="00F407FD" w:rsidP="00F407FD">
      <w:pPr>
        <w:pStyle w:val="EndNoteBibliography"/>
        <w:spacing w:after="120"/>
        <w:rPr>
          <w:rFonts w:ascii="Times New Roman" w:hAnsi="Times New Roman" w:cs="Times New Roman"/>
          <w:sz w:val="24"/>
          <w:szCs w:val="24"/>
        </w:rPr>
      </w:pPr>
      <w:r w:rsidRPr="00341DF6">
        <w:rPr>
          <w:rFonts w:ascii="Times New Roman" w:hAnsi="Times New Roman" w:cs="Times New Roman"/>
          <w:sz w:val="24"/>
          <w:szCs w:val="24"/>
        </w:rPr>
        <w:t>Quadra, G.R., Sobek, S., Paranaíba, J.R., Isidorova, A., Roland, F., do Vale, R., Mendonça, R., 2020. High organic carbon burial but high potential for methane ebullition in the sediments of an Amazonian hydroelectric reservoir. Biogeosciences 17, 1495-1505.</w:t>
      </w:r>
    </w:p>
    <w:p w:rsidR="00123F4A" w:rsidRPr="00341DF6" w:rsidRDefault="00123F4A" w:rsidP="00123F4A">
      <w:pPr>
        <w:pStyle w:val="EndNoteBibliography"/>
        <w:spacing w:after="120"/>
        <w:rPr>
          <w:rFonts w:ascii="Times New Roman" w:hAnsi="Times New Roman" w:cs="Times New Roman"/>
          <w:sz w:val="24"/>
          <w:szCs w:val="24"/>
        </w:rPr>
      </w:pPr>
      <w:r w:rsidRPr="00341DF6">
        <w:rPr>
          <w:rFonts w:ascii="Times New Roman" w:hAnsi="Times New Roman" w:cs="Times New Roman"/>
          <w:sz w:val="24"/>
          <w:szCs w:val="24"/>
        </w:rPr>
        <w:t>Stankevica, K., Vincevica-Gaile, Z., Klavins, M., Kalnina, L., Stivrins, N., Grudzinska, I., Kaup, E., 2020. Accumulation of metals and changes in composition of freshwater lake organic sediments during the Holocene. Chemical Geology 539, 119502.</w:t>
      </w:r>
    </w:p>
    <w:p w:rsidR="00123F4A" w:rsidRPr="00341DF6" w:rsidRDefault="00123F4A" w:rsidP="00123F4A">
      <w:pPr>
        <w:pStyle w:val="EndNoteBibliography"/>
        <w:spacing w:after="120"/>
        <w:rPr>
          <w:rFonts w:ascii="Times New Roman" w:hAnsi="Times New Roman" w:cs="Times New Roman"/>
          <w:sz w:val="24"/>
          <w:szCs w:val="24"/>
        </w:rPr>
      </w:pPr>
      <w:r w:rsidRPr="00341DF6">
        <w:rPr>
          <w:rFonts w:ascii="Times New Roman" w:hAnsi="Times New Roman" w:cs="Times New Roman"/>
          <w:sz w:val="24"/>
          <w:szCs w:val="24"/>
        </w:rPr>
        <w:t xml:space="preserve">Sun, X., Fan, D., Liao, H., Tian, Y.,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Fate of organic carbon burial in modern sediment within Yangtze River Estuary. Journal of Geophysical Research: Biogeosciences 125, e2019JG005379.</w:t>
      </w:r>
    </w:p>
    <w:p w:rsidR="00123F4A" w:rsidRPr="00341DF6" w:rsidRDefault="00123F4A" w:rsidP="00123F4A">
      <w:pPr>
        <w:pStyle w:val="EndNoteBibliography"/>
        <w:spacing w:after="120"/>
        <w:rPr>
          <w:rFonts w:ascii="Times New Roman" w:hAnsi="Times New Roman" w:cs="Times New Roman"/>
          <w:sz w:val="24"/>
          <w:szCs w:val="24"/>
        </w:rPr>
      </w:pPr>
      <w:r w:rsidRPr="00341DF6">
        <w:rPr>
          <w:rFonts w:ascii="Times New Roman" w:hAnsi="Times New Roman" w:cs="Times New Roman"/>
          <w:sz w:val="24"/>
          <w:szCs w:val="24"/>
        </w:rPr>
        <w:t>Torres-Rojas, D., Hestrin, R., Solomon, D., Gillespie, A.W., Dynes, J.J., Regier, T.Z., Lehmann, J., 2020. Nitrogen speciation and transformations in fire-derived organic matter. Geochimica et Cosmochimica Acta 276, 170-185.</w:t>
      </w:r>
    </w:p>
    <w:p w:rsidR="00911845" w:rsidRPr="00341DF6" w:rsidRDefault="00911845" w:rsidP="00911845">
      <w:pPr>
        <w:pStyle w:val="EndNoteBibliography"/>
        <w:spacing w:after="120"/>
        <w:rPr>
          <w:rFonts w:ascii="Times New Roman" w:hAnsi="Times New Roman" w:cs="Times New Roman"/>
          <w:sz w:val="24"/>
          <w:szCs w:val="24"/>
        </w:rPr>
      </w:pPr>
      <w:r w:rsidRPr="00341DF6">
        <w:rPr>
          <w:rFonts w:ascii="Times New Roman" w:hAnsi="Times New Roman" w:cs="Times New Roman"/>
          <w:sz w:val="24"/>
          <w:szCs w:val="24"/>
        </w:rPr>
        <w:t>Wietrzyk-Pełka, P., Rola, K., Szymański, W., Węgrzyn, M.H., 2020. Organic carbon accumulation in the glacier forelands with regard to variability of environmental conditions in different ecogenesis stages of High Arctic ecosystems. Science of The Total Environment 717, 135151.</w:t>
      </w:r>
    </w:p>
    <w:p w:rsidR="001A3A58" w:rsidRDefault="001A3A58" w:rsidP="008741AD">
      <w:pPr>
        <w:spacing w:before="0" w:after="240"/>
        <w:ind w:left="720" w:hanging="720"/>
      </w:pPr>
    </w:p>
    <w:p w:rsidR="00EA3F60" w:rsidRDefault="00EA3F60" w:rsidP="00BB7DDA">
      <w:pPr>
        <w:pStyle w:val="H3"/>
        <w:spacing w:before="0" w:after="240"/>
        <w:ind w:hanging="360"/>
      </w:pPr>
      <w:r>
        <w:t>Atmospheric Geochemistry</w:t>
      </w:r>
    </w:p>
    <w:p w:rsidR="00672046" w:rsidRPr="00341DF6" w:rsidRDefault="00672046"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Lee, B.H., D’Ambro, E.L., Lopez-Hilfiker, F.D., Schobesberger, S., Mohr, C., Zawadowicz, M.A., Liu, J., Shilling, J.E., Hu, W., Palm, B.B., Jimenez, J.L., Hao, L., Virtanen, A., Zhang, H., Goldstein, A.H., Pye, H.O.T., Thornton, J.A.,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Resolving ambient organic aerosol formation and aging pathways with simultaneous molecular composition and volatility observations. ACS Earth and Space Chemistry 4, 391-402.</w:t>
      </w:r>
    </w:p>
    <w:p w:rsidR="0049088E" w:rsidRPr="00341DF6" w:rsidRDefault="0049088E"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Mekic, M., Zeng, J., Jiang, B., Li, X., Lazarou, Y.G., Brigante, M., Herrmann, H., Gligorovski, S., 2020. Formation of toxic unsaturated multifunctional and organosulfur compounds from the photosensitized processing of fluorene and DMSO at the air-water interface. Journal of Geophysical Research: Atmospheres 125, e2019JD031839.</w:t>
      </w:r>
    </w:p>
    <w:p w:rsidR="00BC6CFF" w:rsidRPr="00341DF6" w:rsidRDefault="00BC6CFF"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Song, J., Zhang, Y., Zhang, Y., Yuan, Q., Zhao, Y., Wang, X., Zou, S., Xu, W., Lai, S.,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A case study on the characterization of non-methane hydrocarbons over the South China Sea: Implication of land-sea air exchange. Science of The Total Environment 717, 134754.</w:t>
      </w:r>
    </w:p>
    <w:p w:rsidR="00911845" w:rsidRPr="00341DF6" w:rsidRDefault="00911845"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Zang, K., Zhang, G., Zhao, H., Xu, X., Zheng, N., Wang, J., Zhang, G., 2020. Multiple factors dominate the distribution of methane and its sea-to-air flux in the Bohai Sea in summer and autumn of 2014. Marine Pollution Bulletin 154, 111049.</w:t>
      </w:r>
    </w:p>
    <w:p w:rsidR="00EA3F60" w:rsidRDefault="00EA3F60" w:rsidP="00DB42FE">
      <w:pPr>
        <w:widowControl/>
        <w:spacing w:before="0" w:after="120"/>
        <w:ind w:left="720" w:hanging="360"/>
      </w:pPr>
    </w:p>
    <w:p w:rsidR="001A3A58" w:rsidRDefault="001A3A58" w:rsidP="00BB7DDA">
      <w:pPr>
        <w:pStyle w:val="H3"/>
        <w:spacing w:before="0" w:after="240"/>
        <w:ind w:hanging="360"/>
      </w:pPr>
      <w:r>
        <w:lastRenderedPageBreak/>
        <w:t>Hydrosphere Geochemistry</w:t>
      </w:r>
    </w:p>
    <w:p w:rsidR="00BB53BD" w:rsidRPr="00341DF6" w:rsidRDefault="00BB53B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Amaral, V., Romera-Castillo, C., Forja, J., 2020. Dissolved organic matter in the Gulf of Cádiz: Distribution and drivers of chromophoric and fluorescent properties. Frontiers in Marine Science 7, 126. doi: 110.3389/fmars.2020.00126.</w:t>
      </w:r>
    </w:p>
    <w:p w:rsidR="0032333B" w:rsidRPr="00341DF6" w:rsidRDefault="0032333B"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Beaupré, S.R., Walker, B.D., Druffel, E.R.M., 2020. The two-component model coincidence: Evaluating the validity of marine dissolved organic radiocarbon as a stable-conservative tracer at Station M. Deep Sea Research Part II: Topical Studies in Oceanography 173, 104737.</w:t>
      </w:r>
    </w:p>
    <w:p w:rsidR="00F55A9D" w:rsidRPr="00341DF6" w:rsidRDefault="00F55A9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Bröder, L., Davydova, A., Davydov, S., Zimov, N., Haghipour, N., Eglinton, T.I., Vonk, J.E., 2020. Particulate organic matter dynamics in a permafrost headwater stream and the Kolyma River mainstem. Journal of Geophysical Research: Biogeosciences 125, e2019JG005511.</w:t>
      </w:r>
    </w:p>
    <w:p w:rsidR="005C5B53" w:rsidRPr="00341DF6" w:rsidRDefault="005C5B53"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Chen, M., Zeng, C., Zhang, F., Kang, S., Li, C.,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Characteristics of dissolved organic matter from a transboundary Himalayan watershed: Relationships with land use, elevation, and hydrology. ACS Earth and Space Chemistry 4, 449-456.</w:t>
      </w:r>
    </w:p>
    <w:p w:rsidR="005C5B53" w:rsidRPr="00341DF6" w:rsidRDefault="005C5B53"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Coch, C., Ramage, J.L., Lamoureux, S.F., Meyer, H., Knoblauch, C., Lantuit, H., 2020. Spatial variability of dissolved organic carbon, solutes, and suspended sediment in disturbed low Arctic coastal watersheds. Journal of Geophysical Research: Biogeosciences 125, e2019JG005505.</w:t>
      </w:r>
    </w:p>
    <w:p w:rsidR="005C5B53" w:rsidRPr="00341DF6" w:rsidRDefault="005C5B53"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Dixon, L.J., Hopkins, E.F., Stephens, A.J., Schäfer, H., 2020. Seasonal changes in microbial dissolved organic sulfur transformations in coastal waters. Microorganisms 8, 337.</w:t>
      </w:r>
    </w:p>
    <w:p w:rsidR="006A33BC" w:rsidRPr="00341DF6" w:rsidRDefault="006A33BC"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Gan, S., Schmidt, F., Heuer, V.B., Goldhammer, T., Witt, M., Hinrichs, K.-U., 2020. Impacts of redox conditions on dissolved organic matter (DOM) quality in marine sediments off the River Rhône, Western Mediterranean Sea. Geochimica et Cosmochimica Acta 276, 151-169.</w:t>
      </w:r>
    </w:p>
    <w:p w:rsidR="004F1E0C" w:rsidRPr="00341DF6" w:rsidRDefault="004F1E0C"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Groeneveld, M., Catalán, N., Attermeyer, K., Hawkes, J., Einarsdóttir, K., Kothawala, D., Bergquist, J., Tranvik, L., 2020. Selective adsorption of terrestrial dissolved organic matter to inorganic surfaces along a boreal inland water continuum. Journal of Geophysical Research: Biogeosciences 125, e2019JG005236.</w:t>
      </w:r>
    </w:p>
    <w:p w:rsidR="00672046" w:rsidRPr="00341DF6" w:rsidRDefault="00672046"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Kahru, M., Goericke, R., Kelly, T.B., Stukel, M.R., 2020. Satellite estimation of carbon export by sinking particles in the California Current calibrated with sediment trap data. Deep Sea Research Part II: Topical Studies in Oceanography 173, 104639.</w:t>
      </w:r>
    </w:p>
    <w:p w:rsidR="00672046" w:rsidRPr="00341DF6" w:rsidRDefault="00672046"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LaBrie, R., Lapierre, J.-F., Maranger, R., 2020. Contrasting patterns of labile and semilabile dissolved organic carbon from </w:t>
      </w:r>
      <w:r>
        <w:rPr>
          <w:rFonts w:ascii="Times New Roman" w:hAnsi="Times New Roman" w:cs="Times New Roman"/>
          <w:sz w:val="24"/>
          <w:szCs w:val="24"/>
        </w:rPr>
        <w:t>C</w:t>
      </w:r>
      <w:r w:rsidRPr="00341DF6">
        <w:rPr>
          <w:rFonts w:ascii="Times New Roman" w:hAnsi="Times New Roman" w:cs="Times New Roman"/>
          <w:sz w:val="24"/>
          <w:szCs w:val="24"/>
        </w:rPr>
        <w:t>ontinental waters to the open ocean. Journal of Geophysical Research: Biogeosciences 125, e2019JG005300.</w:t>
      </w:r>
    </w:p>
    <w:p w:rsidR="00672046" w:rsidRPr="00341DF6" w:rsidRDefault="00672046"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Laszakovits, J.R., Somogyi, A., MacKay, A.A., 2020. Chemical alterations of dissolved organic matter by permanganate oxidation. Environmental Science &amp; Technology 54, 3256-3266.</w:t>
      </w:r>
    </w:p>
    <w:p w:rsidR="0064405D" w:rsidRPr="00341DF6" w:rsidRDefault="0064405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Liu, M., Zhang, Y., Shi, K., Melack, J., Zhang, Y., Zhou, Y., Zhu, M., Zhu, G., Wu, Z., Liu, M.,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 xml:space="preserve">Spatial variations of subsurface chlorophyll maxima during thermal </w:t>
      </w:r>
      <w:r w:rsidRPr="00341DF6">
        <w:rPr>
          <w:rFonts w:ascii="Times New Roman" w:hAnsi="Times New Roman" w:cs="Times New Roman"/>
          <w:sz w:val="24"/>
          <w:szCs w:val="24"/>
        </w:rPr>
        <w:lastRenderedPageBreak/>
        <w:t>stratification in a large, deep subtropical reservoir. Journal of Geophysical Research: Biogeosciences 125, e2019JG005480.</w:t>
      </w:r>
    </w:p>
    <w:p w:rsidR="0064405D" w:rsidRPr="00341DF6" w:rsidRDefault="0064405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Luo, R., Ma, G., Bi, S., Duan, Q., Chen, J., Feng, Y., Liu, F., Lee, J.,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Machine learning for total organic carbon analysis of environmental water samples using high-throughput colorimetric sensors. Analyst 145, 2197-2203.</w:t>
      </w:r>
    </w:p>
    <w:p w:rsidR="0049088E" w:rsidRPr="00341DF6" w:rsidRDefault="0049088E"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Nai, H., Xin, J., Liu, Y., Zheng, X., Lin, Z., 2020. Distribution and molecular chemodiversity of dissolved organic nitrogen in the vadose zone-groundwater system of a fluvial plain, northern China: Implications for understanding its loss pathway to groundwater. Science of The Total Environment 723, 137928.</w:t>
      </w:r>
    </w:p>
    <w:p w:rsidR="00F407FD" w:rsidRPr="00341DF6" w:rsidRDefault="00F407F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Omand, M.M., Govindarajan, R., He, J., Mahadevan, A., 2020. Sinking flux of particulate organic matter in the oceans: Sensitivity to particle characteristics. Scientific Reports 10, 5582.</w:t>
      </w:r>
    </w:p>
    <w:p w:rsidR="00F407FD" w:rsidRPr="00341DF6" w:rsidRDefault="00F407F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Qiu, J., Lü, F., Zhang, H., Huang, Y., Shao, L., He, P., 2020. Persistence of native and bio-derived molecules of dissolved organic matters during simultaneous denitrification and methanogenesis for fresh waste leachate. Water Research 175, 115705.</w:t>
      </w:r>
    </w:p>
    <w:p w:rsidR="005D79ED" w:rsidRPr="00341DF6" w:rsidRDefault="005D79E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Ruhl, H.A., Bahr, F.L., Henson, S.A., Hosking, W.B., Espinola, B., Kahru, M., Daniel, P., Drake, P., Edwards, C.A., 2020. Understanding the remote influences of ocean weather on the episodic pulses of particulate organic carbon flux. Deep Sea Research Part II: Topical Studies in Oceanography 173, 104741.</w:t>
      </w:r>
    </w:p>
    <w:p w:rsidR="005D79ED" w:rsidRPr="00341DF6" w:rsidRDefault="005D79ED"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Scranton, M.I., Taylor, G.T., Thunell, R.C., Muller-Karger, F.E., Astor, Y., Swart, P., Edgcomb, V.P., Pachiadaki, M.G., 2020. Anomalous δ</w:t>
      </w:r>
      <w:r w:rsidRPr="00341DF6">
        <w:rPr>
          <w:rFonts w:ascii="Times New Roman" w:hAnsi="Times New Roman" w:cs="Times New Roman"/>
          <w:sz w:val="24"/>
          <w:szCs w:val="24"/>
          <w:vertAlign w:val="superscript"/>
        </w:rPr>
        <w:t>13</w:t>
      </w:r>
      <w:r w:rsidRPr="00341DF6">
        <w:rPr>
          <w:rFonts w:ascii="Times New Roman" w:hAnsi="Times New Roman" w:cs="Times New Roman"/>
          <w:sz w:val="24"/>
          <w:szCs w:val="24"/>
        </w:rPr>
        <w:t>C in particulate organic carbon at the chemoautotrophy maximum in the Cariaco Basin. Journal of Geophysical Research: Biogeosciences 125, e2019JG005276.</w:t>
      </w:r>
    </w:p>
    <w:p w:rsidR="00BC6CFF" w:rsidRPr="00341DF6" w:rsidRDefault="00BC6CFF"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Shaw, T.J., Boucher, C., Huffard, C.L., Smith, K.L., 2020. Model study of organic carbon attenuation and oxygen mass transfer in persistent aggregate layers in the deep sea. Deep Sea Research Part II: Topical Studies in Oceanography 173, 104760.</w:t>
      </w:r>
    </w:p>
    <w:p w:rsidR="00BC6CFF" w:rsidRPr="00341DF6" w:rsidRDefault="00BC6CFF"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Sierra, A., Jiménez-López, D., Ortega, T., Fernández-Puga, M.C., Delgado-Huertas, A., Forja, J., 2020. Methane dynamics in the coastal – </w:t>
      </w:r>
      <w:r>
        <w:rPr>
          <w:rFonts w:ascii="Times New Roman" w:hAnsi="Times New Roman" w:cs="Times New Roman"/>
          <w:sz w:val="24"/>
          <w:szCs w:val="24"/>
        </w:rPr>
        <w:t>C</w:t>
      </w:r>
      <w:r w:rsidRPr="00341DF6">
        <w:rPr>
          <w:rFonts w:ascii="Times New Roman" w:hAnsi="Times New Roman" w:cs="Times New Roman"/>
          <w:sz w:val="24"/>
          <w:szCs w:val="24"/>
        </w:rPr>
        <w:t>ontinental shelf transition zone of the Gulf of Cadiz. Estuarine, Coastal and Shelf Science 236, 106653.</w:t>
      </w:r>
    </w:p>
    <w:p w:rsidR="00911845" w:rsidRPr="00341DF6" w:rsidRDefault="00911845" w:rsidP="00DB42FE">
      <w:pPr>
        <w:pStyle w:val="EndNoteBibliography"/>
        <w:spacing w:after="120"/>
        <w:ind w:left="720" w:hanging="360"/>
        <w:rPr>
          <w:rFonts w:ascii="Times New Roman" w:hAnsi="Times New Roman" w:cs="Times New Roman"/>
          <w:sz w:val="24"/>
          <w:szCs w:val="24"/>
        </w:rPr>
      </w:pPr>
      <w:r w:rsidRPr="00341DF6">
        <w:rPr>
          <w:rFonts w:ascii="Times New Roman" w:hAnsi="Times New Roman" w:cs="Times New Roman"/>
          <w:sz w:val="24"/>
          <w:szCs w:val="24"/>
        </w:rPr>
        <w:t xml:space="preserve">Yang, F., Song, G., Massicotte, P., Wei, H., Xie, H.,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Depth-resolved photochemical lability of dissolved organic matter in the western tropical Pacific Ocean. Journal of Geophysical Research: Biogeosciences 125, e2019JG005425.</w:t>
      </w:r>
    </w:p>
    <w:p w:rsidR="001A3A58" w:rsidRPr="00CB3BDD" w:rsidRDefault="001A3A58" w:rsidP="00995666">
      <w:pPr>
        <w:spacing w:before="0" w:after="240"/>
        <w:ind w:left="360" w:hanging="720"/>
      </w:pPr>
    </w:p>
    <w:p w:rsidR="001A3A58" w:rsidRDefault="001A3A58" w:rsidP="00BB7DDA">
      <w:pPr>
        <w:pStyle w:val="H3"/>
        <w:spacing w:before="0" w:after="240"/>
        <w:ind w:hanging="360"/>
      </w:pPr>
      <w:r>
        <w:t>Soil Geochemistry</w:t>
      </w:r>
    </w:p>
    <w:p w:rsidR="006A33BC" w:rsidRPr="00341DF6" w:rsidRDefault="006A33BC" w:rsidP="006A33BC">
      <w:pPr>
        <w:pStyle w:val="EndNoteBibliography"/>
        <w:spacing w:after="120"/>
        <w:rPr>
          <w:rFonts w:ascii="Times New Roman" w:hAnsi="Times New Roman" w:cs="Times New Roman"/>
          <w:sz w:val="24"/>
          <w:szCs w:val="24"/>
        </w:rPr>
      </w:pPr>
      <w:r w:rsidRPr="00341DF6">
        <w:rPr>
          <w:rFonts w:ascii="Times New Roman" w:hAnsi="Times New Roman" w:cs="Times New Roman"/>
          <w:sz w:val="24"/>
          <w:szCs w:val="24"/>
        </w:rPr>
        <w:t>Gagliano, A.L., Calabrese, S., Daskalopoulou, K., Kyriakopoulos, K., Tagliavia, M., D'Alessandro, W., 2020. Methanotrophy in geothermal soils, an overlooked process: The example of Nisyros island (Greece). Chemical Geology 539, 119546.</w:t>
      </w:r>
    </w:p>
    <w:p w:rsidR="004F1E0C" w:rsidRPr="00341DF6" w:rsidRDefault="004F1E0C" w:rsidP="004F1E0C">
      <w:pPr>
        <w:pStyle w:val="EndNoteBibliography"/>
        <w:spacing w:after="120"/>
        <w:rPr>
          <w:rFonts w:ascii="Times New Roman" w:hAnsi="Times New Roman" w:cs="Times New Roman"/>
          <w:sz w:val="24"/>
          <w:szCs w:val="24"/>
        </w:rPr>
      </w:pPr>
      <w:r w:rsidRPr="00341DF6">
        <w:rPr>
          <w:rFonts w:ascii="Times New Roman" w:hAnsi="Times New Roman" w:cs="Times New Roman"/>
          <w:sz w:val="24"/>
          <w:szCs w:val="24"/>
        </w:rPr>
        <w:t xml:space="preserve">Guo, J., Glendell, M., Meersmans, J., Kirkels, F., Middelburg, J.J., Peterse, F.,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Assessing branched tetraether lipids as tracers of soil organic carbon transport through the Carminowe Creek catchment (southwest England). Biogeosciences Discussions 2020, 1-29.</w:t>
      </w:r>
    </w:p>
    <w:p w:rsidR="00672046" w:rsidRPr="00341DF6" w:rsidRDefault="00672046" w:rsidP="00672046">
      <w:pPr>
        <w:pStyle w:val="EndNoteBibliography"/>
        <w:spacing w:after="120"/>
        <w:rPr>
          <w:rFonts w:ascii="Times New Roman" w:hAnsi="Times New Roman" w:cs="Times New Roman"/>
          <w:sz w:val="24"/>
          <w:szCs w:val="24"/>
        </w:rPr>
      </w:pPr>
      <w:r w:rsidRPr="00341DF6">
        <w:rPr>
          <w:rFonts w:ascii="Times New Roman" w:hAnsi="Times New Roman" w:cs="Times New Roman"/>
          <w:sz w:val="24"/>
          <w:szCs w:val="24"/>
        </w:rPr>
        <w:lastRenderedPageBreak/>
        <w:t>Kalks, F., Liebmann, P., Wordell-Dietrich, P., Guggenberger, G., Kalbitz, K., Mikutta, R., Helfrich, M., Don, A., 2020. Fate and stability of dissolved organic carbon in topsoils and subsoils under beech forests. Biogeochemistry 148, 111-128.</w:t>
      </w:r>
    </w:p>
    <w:p w:rsidR="00F407FD" w:rsidRPr="00341DF6" w:rsidRDefault="00F407FD" w:rsidP="00F407FD">
      <w:pPr>
        <w:pStyle w:val="EndNoteBibliography"/>
        <w:spacing w:after="120"/>
        <w:rPr>
          <w:rFonts w:ascii="Times New Roman" w:hAnsi="Times New Roman" w:cs="Times New Roman"/>
          <w:sz w:val="24"/>
          <w:szCs w:val="24"/>
        </w:rPr>
      </w:pPr>
      <w:r w:rsidRPr="00341DF6">
        <w:rPr>
          <w:rFonts w:ascii="Times New Roman" w:hAnsi="Times New Roman" w:cs="Times New Roman"/>
          <w:sz w:val="24"/>
          <w:szCs w:val="24"/>
        </w:rPr>
        <w:t>Prater, I., Zubrzycki, S., Buegger, F., Zoor-Füllgraff, L.C., Angst, G., Dannenmann, M., Mueller, C.W., 2020. From fibrous plant residues to mineral-associated organic carbon – the fate of organic matter in Arctic permafrost soils. Biogeosciences Discussions 2020, 1-27.</w:t>
      </w:r>
    </w:p>
    <w:p w:rsidR="00123F4A" w:rsidRPr="00341DF6" w:rsidRDefault="00123F4A" w:rsidP="00123F4A">
      <w:pPr>
        <w:pStyle w:val="EndNoteBibliography"/>
        <w:spacing w:after="120"/>
        <w:rPr>
          <w:rFonts w:ascii="Times New Roman" w:hAnsi="Times New Roman" w:cs="Times New Roman"/>
          <w:sz w:val="24"/>
          <w:szCs w:val="24"/>
        </w:rPr>
      </w:pPr>
      <w:r w:rsidRPr="00341DF6">
        <w:rPr>
          <w:rFonts w:ascii="Times New Roman" w:hAnsi="Times New Roman" w:cs="Times New Roman"/>
          <w:sz w:val="24"/>
          <w:szCs w:val="24"/>
        </w:rPr>
        <w:t xml:space="preserve">Sun, K., Han, L., Yang, Y., Xia, X., Yang, Z., Wu, F., Li, F., Feng, Y., Xing, B.,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Application of hydrochar altered soil microbial community composition and the molecular structure of native soil organic carbon in a paddy soil. Environmental Science &amp; Technology 54, 2715-2725.</w:t>
      </w:r>
    </w:p>
    <w:p w:rsidR="00911845" w:rsidRPr="00341DF6" w:rsidRDefault="00911845" w:rsidP="00911845">
      <w:pPr>
        <w:pStyle w:val="EndNoteBibliography"/>
        <w:spacing w:after="120"/>
        <w:rPr>
          <w:rFonts w:ascii="Times New Roman" w:hAnsi="Times New Roman" w:cs="Times New Roman"/>
          <w:sz w:val="24"/>
          <w:szCs w:val="24"/>
        </w:rPr>
      </w:pPr>
      <w:r w:rsidRPr="00341DF6">
        <w:rPr>
          <w:rFonts w:ascii="Times New Roman" w:hAnsi="Times New Roman" w:cs="Times New Roman"/>
          <w:sz w:val="24"/>
          <w:szCs w:val="24"/>
        </w:rPr>
        <w:t>Vormstein, S., Kaiser, M., Piepho, H.P., Ludwig, B., 2020. Aggregate formation and organo-mineral association affect characteristics of soil organic matter across soil horizons and parent materials in temperate broadleaf forest. Biogeochemistry 148, 169-189.</w:t>
      </w:r>
    </w:p>
    <w:p w:rsidR="00C90188" w:rsidRPr="00341DF6" w:rsidRDefault="00C90188" w:rsidP="00C90188">
      <w:pPr>
        <w:pStyle w:val="EndNoteBibliography"/>
        <w:spacing w:after="120"/>
        <w:rPr>
          <w:rFonts w:ascii="Times New Roman" w:hAnsi="Times New Roman" w:cs="Times New Roman"/>
          <w:sz w:val="24"/>
          <w:szCs w:val="24"/>
        </w:rPr>
      </w:pPr>
      <w:r w:rsidRPr="00341DF6">
        <w:rPr>
          <w:rFonts w:ascii="Times New Roman" w:hAnsi="Times New Roman" w:cs="Times New Roman"/>
          <w:sz w:val="24"/>
          <w:szCs w:val="24"/>
        </w:rPr>
        <w:t>Zherebker, A., Shirshin, E., Rubekina, A., Kharybin, O., Kononikhin, A., Kulikova, N.A., Zaitsev, K.V., Roznyatovsky, V.A., Grishin, Y.K., Perminova, I.V., Nikolaev, E.N., 2020. Optical properties of soil dissolved organic matter are related to acidic functions of its components as revealed by fractionation, selective deuteromethylation, and ultrahigh resolution mass spectrometry. Environmental Science &amp; Technology 54, 2667-2677.</w:t>
      </w:r>
    </w:p>
    <w:p w:rsidR="00C90188" w:rsidRPr="00341DF6" w:rsidRDefault="00C90188" w:rsidP="00C90188">
      <w:pPr>
        <w:pStyle w:val="EndNoteBibliography"/>
        <w:spacing w:after="120"/>
        <w:rPr>
          <w:rFonts w:ascii="Times New Roman" w:hAnsi="Times New Roman" w:cs="Times New Roman"/>
          <w:sz w:val="24"/>
          <w:szCs w:val="24"/>
        </w:rPr>
      </w:pPr>
      <w:r w:rsidRPr="00341DF6">
        <w:rPr>
          <w:rFonts w:ascii="Times New Roman" w:hAnsi="Times New Roman" w:cs="Times New Roman"/>
          <w:sz w:val="24"/>
          <w:szCs w:val="24"/>
        </w:rPr>
        <w:t xml:space="preserve">Zhou, S., Wu, J., Bi, X.,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Spatial characteristics of soil δ</w:t>
      </w:r>
      <w:r w:rsidRPr="00341DF6">
        <w:rPr>
          <w:rFonts w:ascii="Times New Roman" w:hAnsi="Times New Roman" w:cs="Times New Roman"/>
          <w:sz w:val="24"/>
          <w:szCs w:val="24"/>
          <w:vertAlign w:val="superscript"/>
        </w:rPr>
        <w:t>13</w:t>
      </w:r>
      <w:r w:rsidRPr="00341DF6">
        <w:rPr>
          <w:rFonts w:ascii="Times New Roman" w:hAnsi="Times New Roman" w:cs="Times New Roman"/>
          <w:sz w:val="24"/>
          <w:szCs w:val="24"/>
        </w:rPr>
        <w:t>C and δ</w:t>
      </w:r>
      <w:r w:rsidRPr="00341DF6">
        <w:rPr>
          <w:rFonts w:ascii="Times New Roman" w:hAnsi="Times New Roman" w:cs="Times New Roman"/>
          <w:sz w:val="24"/>
          <w:szCs w:val="24"/>
          <w:vertAlign w:val="superscript"/>
        </w:rPr>
        <w:t>15</w:t>
      </w:r>
      <w:r w:rsidRPr="00341DF6">
        <w:rPr>
          <w:rFonts w:ascii="Times New Roman" w:hAnsi="Times New Roman" w:cs="Times New Roman"/>
          <w:sz w:val="24"/>
          <w:szCs w:val="24"/>
        </w:rPr>
        <w:t>N reveal shrub-induced successional process in a coastal wetland. Estuarine, Coastal and Shelf Science 236, 106621.</w:t>
      </w:r>
    </w:p>
    <w:p w:rsidR="001A3A58" w:rsidRDefault="001A3A58" w:rsidP="000F3176">
      <w:pPr>
        <w:spacing w:before="0" w:after="240"/>
        <w:ind w:left="720" w:hanging="720"/>
      </w:pPr>
    </w:p>
    <w:p w:rsidR="001A3A58" w:rsidRDefault="001A3A58" w:rsidP="008741AD">
      <w:pPr>
        <w:pStyle w:val="H2"/>
        <w:spacing w:before="0" w:after="240"/>
        <w:ind w:left="720" w:hanging="720"/>
        <w:outlineLvl w:val="0"/>
      </w:pPr>
      <w:r>
        <w:t>Remote Sensing-Hydrocarbon Seepage</w:t>
      </w:r>
    </w:p>
    <w:p w:rsidR="00BB53BD" w:rsidRPr="00341DF6" w:rsidRDefault="00BB53BD" w:rsidP="00BB53BD">
      <w:pPr>
        <w:pStyle w:val="EndNoteBibliography"/>
        <w:spacing w:after="120"/>
        <w:rPr>
          <w:rFonts w:ascii="Times New Roman" w:hAnsi="Times New Roman" w:cs="Times New Roman"/>
          <w:sz w:val="24"/>
          <w:szCs w:val="24"/>
        </w:rPr>
      </w:pPr>
      <w:r w:rsidRPr="00341DF6">
        <w:rPr>
          <w:rFonts w:ascii="Times New Roman" w:hAnsi="Times New Roman" w:cs="Times New Roman"/>
          <w:sz w:val="24"/>
          <w:szCs w:val="24"/>
        </w:rPr>
        <w:t>Barbosa, P.M., Melack, J.M., Amaral, J.H.F., MacIntyre, S., Kasper, D., Cortés, A., Farjalla, V.F., Forsberg, B.R., 2020. Dissolved methane concentrations and fluxes to the atmosphere from a tropical floodplain lake. Biogeochemistry 148, 129-151.</w:t>
      </w:r>
    </w:p>
    <w:p w:rsidR="00BB53BD" w:rsidRPr="00341DF6" w:rsidRDefault="00BB53BD" w:rsidP="00BB53BD">
      <w:pPr>
        <w:pStyle w:val="EndNoteBibliography"/>
        <w:spacing w:after="120"/>
        <w:rPr>
          <w:rFonts w:ascii="Times New Roman" w:hAnsi="Times New Roman" w:cs="Times New Roman"/>
          <w:sz w:val="24"/>
          <w:szCs w:val="24"/>
        </w:rPr>
      </w:pPr>
      <w:r w:rsidRPr="00341DF6">
        <w:rPr>
          <w:rFonts w:ascii="Times New Roman" w:hAnsi="Times New Roman" w:cs="Times New Roman"/>
          <w:sz w:val="24"/>
          <w:szCs w:val="24"/>
        </w:rPr>
        <w:t>Baumberger, T., Lilley, M.D., Lupton, J.E., Baker, E.T., Resing, J.A., Buck, N.J., Walker, S.L., Früh-Green, G.L., 2020. Dissolved gas and metal composition of hydrothermal plumes from a 2008 submarine eruption on the northeast Lau spreading center. Frontiers in Marine Science 7, 171. doi: 110.3389/fmars.2020.00171.</w:t>
      </w:r>
    </w:p>
    <w:p w:rsidR="0032333B" w:rsidRPr="00341DF6" w:rsidRDefault="0032333B" w:rsidP="0032333B">
      <w:pPr>
        <w:pStyle w:val="EndNoteBibliography"/>
        <w:spacing w:after="120"/>
        <w:rPr>
          <w:rFonts w:ascii="Times New Roman" w:hAnsi="Times New Roman" w:cs="Times New Roman"/>
          <w:sz w:val="24"/>
          <w:szCs w:val="24"/>
        </w:rPr>
      </w:pPr>
      <w:r w:rsidRPr="00341DF6">
        <w:rPr>
          <w:rFonts w:ascii="Times New Roman" w:hAnsi="Times New Roman" w:cs="Times New Roman"/>
          <w:sz w:val="24"/>
          <w:szCs w:val="24"/>
        </w:rPr>
        <w:t>Bei, K., Xu, T., Shang, S., Wei, Z., Li, J., Cao, Y., Tian, H., 2020. Numerical study on biogeochemical processes induced by methane leakage and its application in estimating the time of cold seeps formation. Deep Sea Research Part I: Oceanographic Research Papers 157, 103206.</w:t>
      </w:r>
    </w:p>
    <w:p w:rsidR="00F55A9D" w:rsidRPr="00341DF6" w:rsidRDefault="00F55A9D" w:rsidP="00F55A9D">
      <w:pPr>
        <w:pStyle w:val="EndNoteBibliography"/>
        <w:spacing w:after="120"/>
        <w:rPr>
          <w:rFonts w:ascii="Times New Roman" w:hAnsi="Times New Roman" w:cs="Times New Roman"/>
          <w:sz w:val="24"/>
          <w:szCs w:val="24"/>
        </w:rPr>
      </w:pPr>
      <w:r w:rsidRPr="00341DF6">
        <w:rPr>
          <w:rFonts w:ascii="Times New Roman" w:hAnsi="Times New Roman" w:cs="Times New Roman"/>
          <w:sz w:val="24"/>
          <w:szCs w:val="24"/>
        </w:rPr>
        <w:t>Bjerstedt, T.W., Shedd, W.W., Natter, M.G., Abadie, P.B., Moridis, G.J., Reagan, M.T., 2020. Evaluation of hydrocarbon broaching after subsurface containment failure, Gulf of Mexico. American Association of Petroleum Geologists Bulletin 104, 845-862.</w:t>
      </w:r>
    </w:p>
    <w:p w:rsidR="00672046" w:rsidRPr="00341DF6" w:rsidRDefault="00672046" w:rsidP="00672046">
      <w:pPr>
        <w:pStyle w:val="EndNoteBibliography"/>
        <w:spacing w:after="120"/>
        <w:rPr>
          <w:rFonts w:ascii="Times New Roman" w:hAnsi="Times New Roman" w:cs="Times New Roman"/>
          <w:sz w:val="24"/>
          <w:szCs w:val="24"/>
        </w:rPr>
      </w:pPr>
      <w:r w:rsidRPr="00341DF6">
        <w:rPr>
          <w:rFonts w:ascii="Times New Roman" w:hAnsi="Times New Roman" w:cs="Times New Roman"/>
          <w:sz w:val="24"/>
          <w:szCs w:val="24"/>
        </w:rPr>
        <w:t>Jordan, S.F.A., Treude, T., Leifer, I., Janßen, R., Werner, J., Schulz-Vogt, H., Schmale, O., 2020. Bubble-mediated transport of benthic microorganisms into the water column: Identification of methanotrophs and implication of seepage intensity on transport efficiency. Scientific Reports 10, 4682.</w:t>
      </w:r>
    </w:p>
    <w:p w:rsidR="00672046" w:rsidRPr="00341DF6" w:rsidRDefault="00672046" w:rsidP="00672046">
      <w:pPr>
        <w:pStyle w:val="EndNoteBibliography"/>
        <w:spacing w:after="120"/>
        <w:rPr>
          <w:rFonts w:ascii="Times New Roman" w:hAnsi="Times New Roman" w:cs="Times New Roman"/>
          <w:sz w:val="24"/>
          <w:szCs w:val="24"/>
        </w:rPr>
      </w:pPr>
      <w:r w:rsidRPr="00341DF6">
        <w:rPr>
          <w:rFonts w:ascii="Times New Roman" w:hAnsi="Times New Roman" w:cs="Times New Roman"/>
          <w:sz w:val="24"/>
          <w:szCs w:val="24"/>
        </w:rPr>
        <w:lastRenderedPageBreak/>
        <w:t>Kim, J.-H., Hachikubo, A., Kida, M., Minami, H., Lee, D.-H., Jin, Y.K., Ryu, J.-S., Lee, Y.M., Hur, J., Park, M.-H., Kim, Y.-G., Kang, M.-H., Park, S., Chen, M., Kang, S.-G., Kim, S., 2020. Upwarding gas source and postgenetic processes in the shallow sediments from the ARAON Mounds, Chukchi Sea. Journal of Natural Gas Science and Engineering 76, 103223.</w:t>
      </w:r>
    </w:p>
    <w:p w:rsidR="0064405D" w:rsidRPr="00341DF6" w:rsidRDefault="0064405D" w:rsidP="0064405D">
      <w:pPr>
        <w:pStyle w:val="EndNoteBibliography"/>
        <w:spacing w:after="120"/>
        <w:rPr>
          <w:rFonts w:ascii="Times New Roman" w:hAnsi="Times New Roman" w:cs="Times New Roman"/>
          <w:sz w:val="24"/>
          <w:szCs w:val="24"/>
        </w:rPr>
      </w:pPr>
      <w:r w:rsidRPr="00341DF6">
        <w:rPr>
          <w:rFonts w:ascii="Times New Roman" w:hAnsi="Times New Roman" w:cs="Times New Roman"/>
          <w:sz w:val="24"/>
          <w:szCs w:val="24"/>
        </w:rPr>
        <w:t>Long, D.A., Reed, Z.D., Fleisher, A.J., Mendonca, J., Roche, S., Hodges, J.T., 2020. High-accuracy near-infrared carbon dioxide intensity measurements to support remote sensing. Geophysical Research Letters 47, e2019GL086344.</w:t>
      </w:r>
    </w:p>
    <w:p w:rsidR="00123F4A" w:rsidRPr="00341DF6" w:rsidRDefault="00123F4A" w:rsidP="00123F4A">
      <w:pPr>
        <w:pStyle w:val="EndNoteBibliography"/>
        <w:spacing w:after="120"/>
        <w:rPr>
          <w:rFonts w:ascii="Times New Roman" w:hAnsi="Times New Roman" w:cs="Times New Roman"/>
          <w:sz w:val="24"/>
          <w:szCs w:val="24"/>
        </w:rPr>
      </w:pPr>
      <w:r w:rsidRPr="00341DF6">
        <w:rPr>
          <w:rFonts w:ascii="Times New Roman" w:hAnsi="Times New Roman" w:cs="Times New Roman"/>
          <w:sz w:val="24"/>
          <w:szCs w:val="24"/>
        </w:rPr>
        <w:t xml:space="preserve">Turner, P.J., Ball, B., Diana, Z., Fariñas-Bermejo, A., Grace, I., McVeigh, D., Powers, M.M., Van Audenhaege, L., Maslakova, S., Young, C.M., Van Dover, C.L., </w:t>
      </w:r>
      <w:r w:rsidR="00616347">
        <w:rPr>
          <w:rFonts w:ascii="Times New Roman" w:hAnsi="Times New Roman" w:cs="Times New Roman"/>
          <w:sz w:val="24"/>
          <w:szCs w:val="24"/>
        </w:rPr>
        <w:t xml:space="preserve">2020. </w:t>
      </w:r>
      <w:r w:rsidRPr="00341DF6">
        <w:rPr>
          <w:rFonts w:ascii="Times New Roman" w:hAnsi="Times New Roman" w:cs="Times New Roman"/>
          <w:sz w:val="24"/>
          <w:szCs w:val="24"/>
        </w:rPr>
        <w:t xml:space="preserve">Methane seeps on the US Atlantic margin and their potential importance to populations of the commercially valuable deep-sea red crab, </w:t>
      </w:r>
      <w:r w:rsidRPr="00341DF6">
        <w:rPr>
          <w:rFonts w:ascii="Times New Roman" w:hAnsi="Times New Roman" w:cs="Times New Roman"/>
          <w:i/>
          <w:sz w:val="24"/>
          <w:szCs w:val="24"/>
        </w:rPr>
        <w:t>Chaceon quinquedens</w:t>
      </w:r>
      <w:r w:rsidRPr="00341DF6">
        <w:rPr>
          <w:rFonts w:ascii="Times New Roman" w:hAnsi="Times New Roman" w:cs="Times New Roman"/>
          <w:sz w:val="24"/>
          <w:szCs w:val="24"/>
        </w:rPr>
        <w:t>. Frontiers in Marine Science 7, 75. doi: 10.3389/fmars.2020.00075.</w:t>
      </w:r>
    </w:p>
    <w:p w:rsidR="001A3A58" w:rsidRDefault="001A3A58" w:rsidP="008741AD">
      <w:pPr>
        <w:pStyle w:val="H2"/>
        <w:spacing w:before="0" w:after="240"/>
        <w:ind w:left="720" w:hanging="720"/>
        <w:outlineLvl w:val="0"/>
      </w:pPr>
      <w:r>
        <w:t>Abstracts</w:t>
      </w:r>
    </w:p>
    <w:p w:rsidR="00DB42FE" w:rsidRPr="004443A9" w:rsidRDefault="00DB42FE" w:rsidP="00616347">
      <w:pPr>
        <w:pStyle w:val="EndNoteBibliography"/>
        <w:ind w:left="360" w:hanging="360"/>
      </w:pPr>
      <w:r w:rsidRPr="004443A9">
        <w:t xml:space="preserve">Abbasi, G., Motamedi, H., Orang, K., Nickandish, A.A., </w:t>
      </w:r>
      <w:r w:rsidR="00616347">
        <w:t xml:space="preserve">2020. </w:t>
      </w:r>
      <w:r w:rsidRPr="004443A9">
        <w:t>Petroleum geology of the western part of the Central Iran Basin. Journal of Petroleum Geology 43, 171-190.</w:t>
      </w:r>
    </w:p>
    <w:p w:rsidR="00DB42FE" w:rsidRPr="004443A9" w:rsidRDefault="00DB42FE" w:rsidP="00616347">
      <w:pPr>
        <w:pStyle w:val="EndNoteBibliography"/>
        <w:ind w:left="360"/>
      </w:pPr>
      <w:r w:rsidRPr="004443A9">
        <w:t>https://doi.org/10.1111/jpg.12756</w:t>
      </w:r>
    </w:p>
    <w:p w:rsidR="00DB42FE" w:rsidRPr="004443A9" w:rsidRDefault="00DB42FE" w:rsidP="00616347">
      <w:pPr>
        <w:pStyle w:val="EndNoteBibliography"/>
        <w:ind w:left="360"/>
      </w:pPr>
      <w:r w:rsidRPr="004443A9">
        <w:t>Eocene extension and magmatism in Central Iran was followed by late Eocene – early Oligocene uplift, erosion, volcanism and the deposition of the continental and evaporitic sediments of the Lower Red Formation. During the late Oligocene – early Miocene, an extensional (or transtensional) phase occurred with the deposition of the limestones and marls of the Qom Formation, followed by the evaporitic deposits or mudstones of the basal part of the Upper Red Formation. Since the late Miocene, compression has resulted in regional shortening and uplift, with the deposition of the thick, clastic‐dominated upper part of the Upper Red Formation and the overlying conglomeratic unit.</w:t>
      </w:r>
    </w:p>
    <w:p w:rsidR="00DB42FE" w:rsidRPr="004443A9" w:rsidRDefault="00DB42FE" w:rsidP="00616347">
      <w:pPr>
        <w:pStyle w:val="EndNoteBibliography"/>
        <w:ind w:left="360"/>
      </w:pPr>
      <w:r w:rsidRPr="004443A9">
        <w:t>Between 1951 and 2016, a total of 45 exploration, appraisal and development wells were drilled across the western part of the Central Iran Basin where the Alborz, Sarajeh and Aran fields are hydrocarbon discoveries. Traps at these fields are NW‐SE oriented detachment folds formed during the late Miocene – Pliocene. Porous and fractured limestones in the Qom e‐member are the principal reservoir units, and are capped by evaporites or mudstones in the basal part of the Upper Red Formation. Organic‐rich mudstones in the Qom e‐ and c‐members together with shales in the Jurassic Shemshak Formation are potential source rocks.</w:t>
      </w:r>
    </w:p>
    <w:p w:rsidR="00DB42FE" w:rsidRPr="004443A9" w:rsidRDefault="00DB42FE" w:rsidP="00616347">
      <w:pPr>
        <w:pStyle w:val="EndNoteBibliography"/>
        <w:spacing w:after="0"/>
        <w:ind w:left="360"/>
      </w:pPr>
      <w:r w:rsidRPr="004443A9">
        <w:t>An overview of 80 years of exploration efforts in the western part of the Central Iran Basin suggests that the main reasons for the general lack of success include drilling‐associated problems, poor reservoir characteristics, lack of hydrocarbon charge, and underestimating the thickness of the overburden on top of the Qom reservoir.</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Adeboye, O.O., Riedinger, N., Wu, T., Grammer, G.M., Quan, T.M., </w:t>
      </w:r>
      <w:r w:rsidR="00616347">
        <w:t xml:space="preserve">2020. </w:t>
      </w:r>
      <w:r w:rsidRPr="004443A9">
        <w:t>Redox conditions on the Anadarko Shelf of Oklahoma during the deposition of the “Mississippian Limestone”. Marine and Petroleum Geology 116, 104345.</w:t>
      </w:r>
    </w:p>
    <w:p w:rsidR="00DB42FE" w:rsidRPr="004443A9" w:rsidRDefault="00DB42FE" w:rsidP="00616347">
      <w:pPr>
        <w:pStyle w:val="EndNoteBibliography"/>
        <w:ind w:left="360"/>
      </w:pPr>
      <w:r w:rsidRPr="004443A9">
        <w:t>http://www.sciencedirect.com/science/article/pii/S0264817220301288</w:t>
      </w:r>
    </w:p>
    <w:p w:rsidR="00DB42FE" w:rsidRPr="004443A9" w:rsidRDefault="00DB42FE" w:rsidP="00616347">
      <w:pPr>
        <w:pStyle w:val="EndNoteBibliography"/>
        <w:spacing w:after="0"/>
        <w:ind w:left="360"/>
      </w:pPr>
      <w:r w:rsidRPr="004443A9">
        <w:lastRenderedPageBreak/>
        <w:t>A multiproxy approach, including stable nitrogen isotopes and redox sensitive trace elements, was employed in order to evaluate the impact of depositional redox conditions on organic matter accumulations within the Mississippian Limestone interval in the Anadarko Shelf of Oklahoma and also to investigate hydrocarbon source rock potential of the Mississippian Limestone in the study area. Nitrogen isotopes (δ</w:t>
      </w:r>
      <w:r w:rsidRPr="004443A9">
        <w:rPr>
          <w:vertAlign w:val="superscript"/>
        </w:rPr>
        <w:t>15</w:t>
      </w:r>
      <w:r w:rsidRPr="004443A9">
        <w:t>N), total organic carbon (TOC), and concentrations of redox-sensitive trace elements (Cu, Mn, Mo, Ni, U, V) were measured on samples from a core drilled in Canadian County, Oklahoma. Values of TOC are between 0 and 2.5 wt. % and average 0.8 wt. % in the studied interval of the core. The δ</w:t>
      </w:r>
      <w:r w:rsidRPr="004443A9">
        <w:rPr>
          <w:vertAlign w:val="superscript"/>
        </w:rPr>
        <w:t>15</w:t>
      </w:r>
      <w:r w:rsidRPr="004443A9">
        <w:t>N data (3‰–14‰, average 8 ± 1‰) indicate sediment deposition under oxic to suboxic water conditions. This interpretation of depositional redox conditions is supported by elemental redox proxies which show no enrichment relative to average carbonate. Our geochemical data suggest that the Mississippian Limestone is unlikely to be an oil source rock due to pervasively oxic to suboxic depositional redox conditions which would have resulted in oxidation of organic matter.</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Admiraal, M., Lucquin, A., Drieu, L., Casale, S., Jordan, P.D., Craig, O.E., </w:t>
      </w:r>
      <w:r w:rsidR="00616347">
        <w:t xml:space="preserve">2020. </w:t>
      </w:r>
      <w:r w:rsidRPr="004443A9">
        <w:t>Leftovers: The presence of manufacture-derived aquatic lipids in Alaskan pottery. Archaeometry 62, 346-361.</w:t>
      </w:r>
    </w:p>
    <w:p w:rsidR="00DB42FE" w:rsidRPr="004443A9" w:rsidRDefault="00DB42FE" w:rsidP="00616347">
      <w:pPr>
        <w:pStyle w:val="EndNoteBibliography"/>
        <w:ind w:left="360"/>
      </w:pPr>
      <w:r w:rsidRPr="004443A9">
        <w:t>https://doi.org/10.1111/arcm.12515</w:t>
      </w:r>
    </w:p>
    <w:p w:rsidR="00DB42FE" w:rsidRPr="004443A9" w:rsidRDefault="00DB42FE" w:rsidP="00616347">
      <w:pPr>
        <w:pStyle w:val="EndNoteBibliography"/>
        <w:spacing w:after="0"/>
        <w:ind w:left="360"/>
      </w:pPr>
      <w:r w:rsidRPr="004443A9">
        <w:t>Lipids preserved within the walls of ancient pottery vessels are routinely analysed to reveal their original contents. The provenience of aquatic lipids in pottery is generally connected to vessel function (e.g., for cooking or storing fish, shellfish and aquatic mammals). However, ethnographic reports from early historic Alaska mention the use of aquatic oils for waterproofing low-fired pottery. Results of lipid residue studies on Alaskan pottery reflect an exclusive function of pottery to process aquatic resources. However, can one be sure these residues are the product of vessel function and not a remnant of the manufacturing process? The study presents the results of an experiment where the preservation of aquatic lipids during the firing process at different temperatures was measured. It was found that nearly all lipids were removed at firing temperatures of ≥ 400°C. Petrographic analysis of Alaskan pottery samples indicates that firing temperatures were generally &gt; 550°C but &lt; 800°C. The contribution of pre-firing manufacture-derived lipids to samples fired at these temperatures may be regarded as negligible. While the possible presence of aquatic lipids from post-firing surface treatments cannot be excluded, such treatments appear unnecessary for well-fired pottery.</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Afekare, D., Gupta, I., Rao, D., </w:t>
      </w:r>
      <w:r w:rsidR="00616347">
        <w:t xml:space="preserve">2020. </w:t>
      </w:r>
      <w:r w:rsidRPr="004443A9">
        <w:t>Nanoscale investigation of silicon dioxide nanofluids and implications for enhanced oil recovery – An atomic force microscope study. Journal of Petroleum Science and Engineering 191, 107165.</w:t>
      </w:r>
    </w:p>
    <w:p w:rsidR="00DB42FE" w:rsidRPr="004443A9" w:rsidRDefault="00DB42FE" w:rsidP="00616347">
      <w:pPr>
        <w:pStyle w:val="EndNoteBibliography"/>
        <w:ind w:left="360"/>
      </w:pPr>
      <w:r w:rsidRPr="004443A9">
        <w:t>http://www.sciencedirect.com/science/article/pii/S0920410520302527</w:t>
      </w:r>
    </w:p>
    <w:p w:rsidR="00DB42FE" w:rsidRPr="004443A9" w:rsidRDefault="00DB42FE" w:rsidP="00616347">
      <w:pPr>
        <w:pStyle w:val="EndNoteBibliography"/>
        <w:spacing w:after="0"/>
        <w:ind w:left="360"/>
      </w:pPr>
      <w:r w:rsidRPr="004443A9">
        <w:t xml:space="preserve">The use of silica-based nanofluids in enhanced oil recovery (EOR) has received significant attention recently. Aqueous dispersion of silica nanoparticles (&lt;100 nm) can improve oil recovery through wettability alteration via rock/fluid and fluid/fluid interactions. Silicon dioxide nanofluids also offer superior advantages such as controllable chemistry and environmental safety. The potential of these chemicals has been studied reasonably at larger scales through contact angle and force imbibition tests. However, there is inadequate scientific understanding of nanofluid EOR. Evidence of oil recovery at nanoscale is also limited, which is important for low-porosity and permeability </w:t>
      </w:r>
      <w:r w:rsidRPr="004443A9">
        <w:lastRenderedPageBreak/>
        <w:t>petroleum rocks with nanopores. In this study, we conducted an atomic force microscopy (AFM) study to investigate the effect of silica-based nanofluids on wettability alteration in model sandstones at nanoscale. We used CH</w:t>
      </w:r>
      <w:r w:rsidRPr="004443A9">
        <w:rPr>
          <w:vertAlign w:val="subscript"/>
        </w:rPr>
        <w:t>2</w:t>
      </w:r>
      <w:r w:rsidRPr="004443A9">
        <w:t>- and C</w:t>
      </w:r>
      <w:r w:rsidRPr="004443A9">
        <w:rPr>
          <w:vertAlign w:val="subscript"/>
        </w:rPr>
        <w:t>6</w:t>
      </w:r>
      <w:r w:rsidRPr="004443A9">
        <w:t>H</w:t>
      </w:r>
      <w:r w:rsidRPr="004443A9">
        <w:rPr>
          <w:vertAlign w:val="subscript"/>
        </w:rPr>
        <w:t>5</w:t>
      </w:r>
      <w:r w:rsidRPr="004443A9">
        <w:t>- terminated functionalized AFM probes to represent saturated and aromatic crude oils (respectively), and quartz &amp; feldspar minerals to represent model rock surfaces. Our results show that adhesion force between these non-polar moieties and minerals decrease with increasing nanofluid concentration. We demonstrate experimentally at nanoscale that silica nanofluids significantly reduces work of adhesion – a fundamental wettability indicator - between functionalized probes and substrates. Across all tests, we observed a threshold concentration of 0.5 wt% above which wettability is not improved. Our findings offer fresh insight into the fundamental investigations of oil release mechanism with dispersed nanoparticles and provide original evidence on the implications of nanofluid injection for enhanced oil recovery at sub-micron scale.</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Afouda, P., Dubourg, G., Raoult, D., </w:t>
      </w:r>
      <w:r w:rsidR="00616347">
        <w:t xml:space="preserve">2020. </w:t>
      </w:r>
      <w:r w:rsidRPr="004443A9">
        <w:t>Archeomicrobiology applied to environmental samples. Microbial Pathogenesis 143, 104140.</w:t>
      </w:r>
    </w:p>
    <w:p w:rsidR="00DB42FE" w:rsidRPr="004443A9" w:rsidRDefault="00DB42FE" w:rsidP="00616347">
      <w:pPr>
        <w:pStyle w:val="EndNoteBibliography"/>
        <w:ind w:left="360"/>
      </w:pPr>
      <w:r w:rsidRPr="004443A9">
        <w:t>http://www.sciencedirect.com/science/article/pii/S0882401020304277</w:t>
      </w:r>
    </w:p>
    <w:p w:rsidR="00DB42FE" w:rsidRPr="004443A9" w:rsidRDefault="00DB42FE" w:rsidP="00616347">
      <w:pPr>
        <w:pStyle w:val="EndNoteBibliography"/>
        <w:spacing w:after="0"/>
        <w:ind w:left="360"/>
      </w:pPr>
      <w:r w:rsidRPr="004443A9">
        <w:t>The study of ancient microorganisms represents one of the main ways to understand how microbes have evolved to date, especially those associated with humans or ecosystems of interest. However, these studies are always tedious because the viability of the microbes is difficult to maintain and the degradation of their DNA, can make their detection difficult. The explosion in the number of studies on ancient microorganisms in recent years is partly due to improved methods and their availability, ranging from microscopy to next generation sequencing techniques (NGS). In this article, we discuss these methods and their contribution to deciphering the ancient environmental microbial community, with particular emphasis on permafrost, ancient halite, amber and ancient rocks.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Ahad, J.M.E., Pakdel, H., Gammon, P.R., Mayer, B., Savard, M.M., Peru, K.M., Headley, J.V., </w:t>
      </w:r>
      <w:r w:rsidR="00616347">
        <w:t xml:space="preserve">2020. </w:t>
      </w:r>
      <w:r w:rsidRPr="004443A9">
        <w:t>Distinguishing natural from anthropogenic sources of acid extractable organics in groundwater near oil sands tailings ponds. Environmental Science &amp; Technology 54, 2790-2799.</w:t>
      </w:r>
    </w:p>
    <w:p w:rsidR="00DB42FE" w:rsidRPr="004443A9" w:rsidRDefault="00DB42FE" w:rsidP="00616347">
      <w:pPr>
        <w:pStyle w:val="EndNoteBibliography"/>
        <w:ind w:left="360"/>
      </w:pPr>
      <w:r w:rsidRPr="004443A9">
        <w:t>https://doi.org/10.1021/acs.est.9b06875</w:t>
      </w:r>
    </w:p>
    <w:p w:rsidR="00DB42FE" w:rsidRPr="004443A9" w:rsidRDefault="00DB42FE" w:rsidP="00616347">
      <w:pPr>
        <w:pStyle w:val="EndNoteBibliography"/>
        <w:spacing w:after="0"/>
        <w:ind w:left="360"/>
      </w:pPr>
      <w:r w:rsidRPr="004443A9">
        <w:t>Distinguishing between naphthenic acids (NAs) associated with oil sands process-affected water (OSPW) and those found naturally in groundwaters in contact with the bituminous McMurray Formation poses a considerable analytical challenge to environmental research in Canada’s oil sands region. Previous work addressing this problem combined high-resolution Orbitrap mass spectrometry with carbon isotope values generated by online pyrolysis (δ</w:t>
      </w:r>
      <w:r w:rsidRPr="004443A9">
        <w:rPr>
          <w:vertAlign w:val="superscript"/>
        </w:rPr>
        <w:t>13</w:t>
      </w:r>
      <w:r w:rsidRPr="004443A9">
        <w:t>C</w:t>
      </w:r>
      <w:r w:rsidRPr="004443A9">
        <w:rPr>
          <w:vertAlign w:val="subscript"/>
        </w:rPr>
        <w:t>pyr</w:t>
      </w:r>
      <w:r w:rsidRPr="004443A9">
        <w:t>) to characterize and quantify the acid extractable organics (AEOs) fraction containing NAs in the subsurface near an oil sands tailings pond. Here, we build upon this work through further development and application of these techniques at two different study sites near two different tailings ponds, in conjunction with the use of an additional isotopic tool—sulfur isotope analysis (δ</w:t>
      </w:r>
      <w:r w:rsidRPr="004443A9">
        <w:rPr>
          <w:vertAlign w:val="superscript"/>
        </w:rPr>
        <w:t>34</w:t>
      </w:r>
      <w:r w:rsidRPr="004443A9">
        <w:t>S) of AEOs. The combined use of both δ</w:t>
      </w:r>
      <w:r w:rsidRPr="004443A9">
        <w:rPr>
          <w:vertAlign w:val="superscript"/>
        </w:rPr>
        <w:t>13</w:t>
      </w:r>
      <w:r w:rsidRPr="004443A9">
        <w:t>C</w:t>
      </w:r>
      <w:r w:rsidRPr="004443A9">
        <w:rPr>
          <w:vertAlign w:val="subscript"/>
        </w:rPr>
        <w:t>pyr</w:t>
      </w:r>
      <w:r w:rsidRPr="004443A9">
        <w:t xml:space="preserve"> and δ</w:t>
      </w:r>
      <w:r w:rsidRPr="004443A9">
        <w:rPr>
          <w:vertAlign w:val="superscript"/>
        </w:rPr>
        <w:t>34</w:t>
      </w:r>
      <w:r w:rsidRPr="004443A9">
        <w:t xml:space="preserve">S allowed for discrimination of AEOs into the three end-members relevant to ascertaining the NA environmental footprint within the region: (1) OSPW; (2) McMurray Formation groundwater (i.e., naturally occurring bitumen), and; (3) naturally occurring non-bitumen. A Bayesian isotopic mixing model was used to determine the relative proportions of these three sources in groundwater at both study sites. Although background levels of OSPW-derived AEOs were </w:t>
      </w:r>
      <w:r w:rsidRPr="004443A9">
        <w:lastRenderedPageBreak/>
        <w:t>generally low, one sample containing 49–99% (95% credibility interval) OSPW-derived AEOs was detected within an inferred preferential flow-path, highlighting the potential for this technique to track tailings pond seepage.</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Airapetian, V.S., Barnes, R., Cohen, O., Collinson, G.A., Danchi, W.C., Dong, C.F., Del Genio, A.D., France, K., Garcia-Sage, K., Glocer, A., Gopalswamy, N., Grenfell, J.L., Gronoff, G., Güdel, M., Herbst, K., Henning, W.G., Jackman, C.H., Jin, M., Johnstone, C.P., Kaltenegger, L., Kay, C.D., Kobayashi, K., Kuang, W., Li, G., Lynch, B.J., Lüftinger, T., Luhmann, J.G., Maehara, H., Mlynczak, M.G., Notsu, Y., Osten, R.A., Ramirez, R.M., Rugheimer, S., Scheucher, M., Schlieder, J.E., Shibata, K., Sousa-Silva, C., Stamenković, V., Strangeway, R.J., Usmanov, A.V., Vergados, P., Verkhoglyadova, O.P., Vidotto, A.A., Voytek, M., Way, M.J., Zank, G.P., Yamashiki, Y., </w:t>
      </w:r>
      <w:r w:rsidR="00616347">
        <w:t xml:space="preserve">2020. </w:t>
      </w:r>
      <w:r w:rsidRPr="004443A9">
        <w:t>Impact of space weather on climate and habitability of terrestrial-type exoplanets. International Journal of Astrobiology 19, 136-194.</w:t>
      </w:r>
    </w:p>
    <w:p w:rsidR="00DB42FE" w:rsidRPr="004443A9" w:rsidRDefault="00DB42FE" w:rsidP="00616347">
      <w:pPr>
        <w:pStyle w:val="EndNoteBibliography"/>
        <w:ind w:left="360"/>
      </w:pPr>
      <w:r w:rsidRPr="004443A9">
        <w:t>https://doi.org/10.1017/S1473550419000132</w:t>
      </w:r>
    </w:p>
    <w:p w:rsidR="00DB42FE" w:rsidRPr="004443A9" w:rsidRDefault="00DB42FE" w:rsidP="00616347">
      <w:pPr>
        <w:pStyle w:val="EndNoteBibliography"/>
        <w:spacing w:after="0"/>
        <w:ind w:left="360"/>
      </w:pPr>
      <w:r w:rsidRPr="004443A9">
        <w:t>The search for life in the Universe is a fundamental problem of astrobiology and modern science. The current progress in the detection of terrestrial-type exoplanets has opened a new avenue in the characterization of exoplanetary atmospheres and in the search for biosignatures of life with the upcoming ground-based and space missions. To specify the conditions favourable for the origin, development and sustainment of life as we know it in other worlds, we need to understand the nature of global (astrospheric), and local (atmospheric and surface) environments of exoplanets in the habitable zones (HZs) around G-K-M dwarf stars including our young Sun. Global environment is formed by propagated disturbances from the planet-hosting stars in the form of stellar flares, coronal mass ejections, energetic particles and winds collectively known as astrospheric space weather. Its characterization will help in understanding how an exoplanetary ecosystem interacts with its host star, as well as in the specification of the physical, chemical and biochemical conditions that can create favourable and/or detrimental conditions for planetary climate and habitability along with evolution of planetary internal dynamics over geological timescales. A key linkage of (astro)physical, chemical and geological processes can only be understood in the framework of interdisciplinary studies with the incorporation of progress in heliophysics, astrophysics, planetary and Earth sciences. The assessment of the impacts of host stars on the climate and habitability of terrestrial (exo)planets will significantly expand the current definition of the HZ to the biogenic zone and provide new observational strategies for searching for signatures of life. The major goal of this paper is to describe and discuss the current status and recent progress in this interdisciplinary field in light of presentations and discussions during the NASA Nexus for Exoplanetary System Science funded workshop ‘Exoplanetary Space Weather, Climate and Habitability’ and to provide a new roadmap for the future development of the emerging field of exoplanetary science and astrobiology.</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Ajayi, S., Kump, L.R., Ridgwell, A., Kirtland Turner, S., Hay, C.C., Bralower, T.J., </w:t>
      </w:r>
      <w:r w:rsidR="00616347">
        <w:t xml:space="preserve">2020. </w:t>
      </w:r>
      <w:r w:rsidRPr="004443A9">
        <w:t>Evaluation of Paleocene-Eocene Thermal Maximum carbon isotope record completeness—an illustration of the potential of dynamic time warping in aligning paleo-proxy records. Geochemistry, Geophysics, Geosystems 21, e2019GC008620.</w:t>
      </w:r>
    </w:p>
    <w:p w:rsidR="00DB42FE" w:rsidRPr="004443A9" w:rsidRDefault="00DB42FE" w:rsidP="00616347">
      <w:pPr>
        <w:pStyle w:val="EndNoteBibliography"/>
        <w:ind w:left="360"/>
      </w:pPr>
      <w:r w:rsidRPr="004443A9">
        <w:t>https://doi.org/10.1029/2019GC008620</w:t>
      </w:r>
    </w:p>
    <w:p w:rsidR="00DB42FE" w:rsidRPr="004443A9" w:rsidRDefault="00DB42FE" w:rsidP="00616347">
      <w:pPr>
        <w:pStyle w:val="EndNoteBibliography"/>
        <w:spacing w:after="0"/>
        <w:ind w:left="360"/>
      </w:pPr>
      <w:r w:rsidRPr="004443A9">
        <w:t xml:space="preserve">Variations in sedimentation rate, bioturbation, winnowing, and dissolution modify the deep‐sea sedimentary record, complicating the apparent relationship between stratigraphic depth and time </w:t>
      </w:r>
      <w:r w:rsidRPr="004443A9">
        <w:lastRenderedPageBreak/>
        <w:t>of a geochemical proxy record and confounding the extraction of a clear picture of past climates and environments. Dynamic time warping (DTW) is used to align time series with similar patterns. Here we explore the use of DTW to identify gaps in proxy records of the Paleocene‐Eocene thermal maximum (PETM), aligning bulk sediment carbonate isotope records (δ</w:t>
      </w:r>
      <w:r w:rsidRPr="004443A9">
        <w:rPr>
          <w:vertAlign w:val="superscript"/>
        </w:rPr>
        <w:t>13</w:t>
      </w:r>
      <w:r w:rsidRPr="004443A9">
        <w:t>C) from various deep‐sea sediment core sections spanning the event. Alignment of PETM δ</w:t>
      </w:r>
      <w:r w:rsidRPr="004443A9">
        <w:rPr>
          <w:vertAlign w:val="superscript"/>
        </w:rPr>
        <w:t>13</w:t>
      </w:r>
      <w:r w:rsidRPr="004443A9">
        <w:t>C records from the Walvis Ridge, South Atlantic transect of ODP Leg 208 (Sites 1262, 1263, and 1265) was similar to previously published manually established alignments and consistent with the expectation that shallower sites have more complete records. The δ</w:t>
      </w:r>
      <w:r w:rsidRPr="004443A9">
        <w:rPr>
          <w:vertAlign w:val="superscript"/>
        </w:rPr>
        <w:t>13</w:t>
      </w:r>
      <w:r w:rsidRPr="004443A9">
        <w:t>C record from a Southern Ocean site (Maud Rise; ODP Site 690) was then aligned to ODP Site 1263, the most complete Walvis Ridge site. This alignment identifies a gap in Site 690, indicating that peak excursion δ</w:t>
      </w:r>
      <w:r w:rsidRPr="004443A9">
        <w:rPr>
          <w:vertAlign w:val="superscript"/>
        </w:rPr>
        <w:t>13</w:t>
      </w:r>
      <w:r w:rsidRPr="004443A9">
        <w:t>C values were not recorded. We conclude that DTW provides an objective way to align climate proxy records and rectify data loss associated with unconformities and other types of distortions, leading to a more complete understanding of the geologic record of past episodes of biotic and environmental change.</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Akand, E.H., Downard, K.M., </w:t>
      </w:r>
      <w:r w:rsidR="00616347">
        <w:t xml:space="preserve">2020. </w:t>
      </w:r>
      <w:r w:rsidRPr="004443A9">
        <w:t>Reimaging the Tree of Life using a mass based phylonumerics approach. Evolutionary Biology 47, 76-84.</w:t>
      </w:r>
    </w:p>
    <w:p w:rsidR="00DB42FE" w:rsidRPr="004443A9" w:rsidRDefault="00DB42FE" w:rsidP="00616347">
      <w:pPr>
        <w:pStyle w:val="EndNoteBibliography"/>
        <w:ind w:left="360"/>
      </w:pPr>
      <w:r w:rsidRPr="004443A9">
        <w:t>https://doi.org/10.1007/s11692-020-09490-1</w:t>
      </w:r>
    </w:p>
    <w:p w:rsidR="00DB42FE" w:rsidRPr="004443A9" w:rsidRDefault="00DB42FE" w:rsidP="00616347">
      <w:pPr>
        <w:pStyle w:val="EndNoteBibliography"/>
        <w:spacing w:after="0"/>
        <w:ind w:left="360"/>
      </w:pPr>
      <w:r w:rsidRPr="004443A9">
        <w:t>Evolutionary relationships among and across species are almost exclusively examined through phylogenetic analysis based on trees constructed using gene sequences. Such trees are not without their limitations. Here we show that sets of numbers representing the masses of peptide segments within proteins encoded by those genes can also be used to construct trees of life employing a phylonumerics approach. A purpose built algorithm developed in this laboratory has been used to construct so-called mass trees from these numerical mass map datasets for hypothetical proteins encoded by the 16S/18S gene across all forms of life. A mass and conventional sequence tree built from 736 proteins across all six kingdoms of life (comprising 201 animals, 26 plants, 12 fungi, 13 protists, 236 archaea and 248 bacteria) show considerable similarity and demonstrate the broad viability of a phylonumerics approach for displaying and studying biodiversity and evolutionary history. A visual and computational comparison of mass trees and conventional sequence based trees, using several tree comparison algorithms, demonstrates that the former represent a reliable and effective means to study organismal evolution without the need for gene or protein sequences nor their alignment. The phylonumerics approach can also display mutational differences along the branches of these trees to allow for the study of molecular mechanisms that drive evolutionary change.</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Akinyemi, S.A., Adebayo, O.F., Nyakuma, B.B., Adegoke, A.K., Aturamu, O.A., OlaOlorun, O.A., Adetunji, A., Hower, J.C., Hood, M.M., Jauro, A., </w:t>
      </w:r>
      <w:r w:rsidR="00616347">
        <w:t xml:space="preserve">2020. </w:t>
      </w:r>
      <w:r w:rsidRPr="004443A9">
        <w:t>Petrology, physicochemical and thermal analyses of selected Cretaceous coals from the Benue Trough Basin in Nigeria. International Journal of Coal Science &amp; Technology 7, 26-42.</w:t>
      </w:r>
    </w:p>
    <w:p w:rsidR="00DB42FE" w:rsidRPr="004443A9" w:rsidRDefault="00DB42FE" w:rsidP="00616347">
      <w:pPr>
        <w:pStyle w:val="EndNoteBibliography"/>
        <w:ind w:left="360"/>
      </w:pPr>
      <w:r w:rsidRPr="004443A9">
        <w:t>https://doi.org/10.1007/s40789-020-00303-6</w:t>
      </w:r>
    </w:p>
    <w:p w:rsidR="00DB42FE" w:rsidRPr="004443A9" w:rsidRDefault="00DB42FE" w:rsidP="00616347">
      <w:pPr>
        <w:pStyle w:val="EndNoteBibliography"/>
        <w:spacing w:after="0"/>
        <w:ind w:left="360"/>
      </w:pPr>
      <w:r w:rsidRPr="004443A9">
        <w:t xml:space="preserve">Abundant coal resources that were previously neglected due to a crude oil boom need revitalisation and integration into the national electricity mix to address the energy demands of the Nigerian population. Selected coal samples from the Benue Trough sedimentary basin in Nigeria were examined by various techniques, including proximate and ultimate analyses, organic petrography, </w:t>
      </w:r>
      <w:r w:rsidRPr="004443A9">
        <w:lastRenderedPageBreak/>
        <w:t>Fourier transform infrared ray spectroscopy, and thermogravimetric analysis. Based on vitrinite reflectance, the Lafia-Obi (OLB), Garin Maiganga (GMG), Imiegba (IMG), and Okaba (OKB) coals are classified as subbituminous, while the Lamja1 (LMJ1), Lamja2 (LMJ2) and Chikila (CHK) coals are high volatile B bituminous. The Enugu (ENG) coal is on the boundary between subbituminous and high volatile C bituminous. Organic petrographic results indicate vitrinite and fusinite contents steadily increase from the Lower Benue Trough coals to the Upper Benue Trough coals, while semifusinite and total mineral contents follow a reverse pattern. Thermal decomposition occurred in three stages, i.e., drying, devolatilization, and coke formation above 700 °C; and the coal reactivity follows the following order, ENG &gt; IMG &gt; IGH &gt; CHK &gt; LMJ &gt; OKB &gt; GMG &gt; LFB. The higher temperatures (above 900 °C) are required to decompose the coals for efficient energy recovery. The LMJ1, LMJ2, OLB, CHK, GMG, and OKB coals can be exploited for electricity power generation. However, the Imeagha and Enugu coals are best suitable for both cement and power generation.</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Ali, J.A., Kalhury, A.M., Sabir, A.N., Ahmed, R.N., Ali, N.H., Abdullah, A.D., </w:t>
      </w:r>
      <w:r w:rsidR="00616347">
        <w:t xml:space="preserve">2020. </w:t>
      </w:r>
      <w:r w:rsidRPr="004443A9">
        <w:t>A state-of-the-art review of the application of nanotechnology in the oil and gas industry with a focus on drilling engineering. Journal of Petroleum Science and Engineering 191, 107118.</w:t>
      </w:r>
    </w:p>
    <w:p w:rsidR="00DB42FE" w:rsidRPr="004443A9" w:rsidRDefault="00DB42FE" w:rsidP="00616347">
      <w:pPr>
        <w:pStyle w:val="EndNoteBibliography"/>
        <w:ind w:left="360"/>
      </w:pPr>
      <w:r w:rsidRPr="004443A9">
        <w:t>http://www.sciencedirect.com/science/article/pii/S0920410520302084</w:t>
      </w:r>
    </w:p>
    <w:p w:rsidR="00DB42FE" w:rsidRPr="004443A9" w:rsidRDefault="00DB42FE" w:rsidP="00616347">
      <w:pPr>
        <w:pStyle w:val="EndNoteBibliography"/>
        <w:ind w:left="360"/>
      </w:pPr>
      <w:r w:rsidRPr="004443A9">
        <w:t>Hydrocarbons have been the primary resource of the energy of civilizations for hundreds of years historically and still play a vital role in accomplishing the daily life occupations in every sector. With the upcoming dramatic rate increase of the human population reaching 9.8 billion by 2030, the latter requires an uprising supply of goods and services that can be achieved through the increased rate production of gas and oil globally. Nanotechnology is a General-Purpose Technology (GPT) that can fulfill the needs of humanity in every industry sector with its unique properties of a scale range between 1 and 100 nm and high surface area, adsorption potential and heat conductivity. Therefore, nanoscale materials can impressively make major advancements in the upstream and downstream sectors of the gas and oil industry.</w:t>
      </w:r>
    </w:p>
    <w:p w:rsidR="00DB42FE" w:rsidRPr="004443A9" w:rsidRDefault="00DB42FE" w:rsidP="00616347">
      <w:pPr>
        <w:pStyle w:val="EndNoteBibliography"/>
        <w:spacing w:after="0"/>
        <w:ind w:left="360"/>
      </w:pPr>
      <w:r w:rsidRPr="004443A9">
        <w:t>In this study, the properties and mechanisms of modifying the different nanomaterials are manifested which can be used in different segments of the petroleum industry, such as exploration, reservoir engineering, enhanced oil recovery, drilling technology and refining processes. Our aim in this work is to provide a detailed elaboration on the drilling technology including the application of nanomaterials as additives in drilling mud for manipulating the rheological properties, pH and treat the fluid loss, such as iron oxide (Fe</w:t>
      </w:r>
      <w:r w:rsidRPr="004443A9">
        <w:rPr>
          <w:vertAlign w:val="subscript"/>
        </w:rPr>
        <w:t>2</w:t>
      </w:r>
      <w:r w:rsidRPr="004443A9">
        <w:t>O</w:t>
      </w:r>
      <w:r w:rsidRPr="004443A9">
        <w:rPr>
          <w:vertAlign w:val="subscript"/>
        </w:rPr>
        <w:t>3</w:t>
      </w:r>
      <w:r w:rsidRPr="004443A9">
        <w:t>), silica dioxide (SiO2), multi-walled carbon nanotubes (MWCNT), and polymerized acrylamide monomer with the presence of TiO</w:t>
      </w:r>
      <w:r w:rsidRPr="004443A9">
        <w:rPr>
          <w:vertAlign w:val="subscript"/>
        </w:rPr>
        <w:t>2</w:t>
      </w:r>
      <w:r w:rsidRPr="004443A9">
        <w:t>. Moreover, the application of these nanomaterials in cementing and drilling tools such as pipes and bits are covered. Pipes are coated with MoS</w:t>
      </w:r>
      <w:r w:rsidRPr="004443A9">
        <w:rPr>
          <w:vertAlign w:val="subscript"/>
        </w:rPr>
        <w:t>2</w:t>
      </w:r>
      <w:r w:rsidRPr="004443A9">
        <w:t xml:space="preserve"> nanoparticles. Drill bits can be modified and kept safe in harsh conditions by Al</w:t>
      </w:r>
      <w:r w:rsidRPr="004443A9">
        <w:rPr>
          <w:vertAlign w:val="subscript"/>
        </w:rPr>
        <w:t>2</w:t>
      </w:r>
      <w:r w:rsidRPr="004443A9">
        <w:t>O</w:t>
      </w:r>
      <w:r w:rsidRPr="004443A9">
        <w:rPr>
          <w:vertAlign w:val="subscript"/>
        </w:rPr>
        <w:t>3</w:t>
      </w:r>
      <w:r w:rsidRPr="004443A9">
        <w:t>-TiO</w:t>
      </w:r>
      <w:r w:rsidRPr="004443A9">
        <w:rPr>
          <w:vertAlign w:val="subscript"/>
        </w:rPr>
        <w:t>2</w:t>
      </w:r>
      <w:r w:rsidRPr="004443A9">
        <w:t xml:space="preserve"> nanoceramics powder. Consequently, nanotechnology is considered as a promising field that can meet the demands with great potential and satisfying results.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Alicandri, E., Paolacci, A.R., Osadolor, S., Sorgonà, A., Badiani, M., Ciaffi, M., </w:t>
      </w:r>
      <w:r w:rsidR="00616347">
        <w:t xml:space="preserve">2020. </w:t>
      </w:r>
      <w:r w:rsidRPr="004443A9">
        <w:t xml:space="preserve">On the evolution and functional diversity of terpene synthases in the </w:t>
      </w:r>
      <w:r w:rsidRPr="004443A9">
        <w:rPr>
          <w:i/>
        </w:rPr>
        <w:t xml:space="preserve">Pinus </w:t>
      </w:r>
      <w:r w:rsidRPr="004443A9">
        <w:t>species: A review. Journal of Molecular Evolution 88, 253-283.</w:t>
      </w:r>
    </w:p>
    <w:p w:rsidR="00DB42FE" w:rsidRPr="004443A9" w:rsidRDefault="00DB42FE" w:rsidP="00616347">
      <w:pPr>
        <w:pStyle w:val="EndNoteBibliography"/>
        <w:ind w:left="360"/>
      </w:pPr>
      <w:r w:rsidRPr="004443A9">
        <w:t>https://doi.org/10.1007/s00239-020-09930-8</w:t>
      </w:r>
    </w:p>
    <w:p w:rsidR="00DB42FE" w:rsidRPr="004443A9" w:rsidRDefault="00DB42FE" w:rsidP="00616347">
      <w:pPr>
        <w:pStyle w:val="EndNoteBibliography"/>
        <w:spacing w:after="0"/>
        <w:ind w:left="360"/>
      </w:pPr>
      <w:r w:rsidRPr="004443A9">
        <w:lastRenderedPageBreak/>
        <w:t xml:space="preserve">In the biosynthesis of terpenoids, the ample catalytic versatility of terpene synthases (TPS) allows the formation of thousands of different molecules. A steadily increasing number of sequenced plant genomes invariably show that the TPS gene family is medium to large in size, comprising from 30 to 100 functional members. In conifers, TPSs belonging to the gymnosperm-specific TPS-d subfamily produce a complex mixture of mono-, sesqui-, and diterpenoid specialized metabolites, which are found in volatile emissions and oleoresin secretions. Such substances are involved in the defence against pathogens and herbivores and can help to protect against abiotic stress. Oleoresin terpenoids can be also profitably used in a number of different fields, from traditional and modern medicine to fine chemicals, fragrances, and flavours, and, in the last years, in biorefinery too. In the present work, after summarizing the current views on the biosynthesis and biological functions of terpenoids, recent advances on the evolution and functional diversification of plant TPSs are reviewed, with a focus on gymnosperms. In such context, an extensive characterization and phylogeny of all the known TPSs from different </w:t>
      </w:r>
      <w:r w:rsidRPr="004443A9">
        <w:rPr>
          <w:i/>
        </w:rPr>
        <w:t>Pinus</w:t>
      </w:r>
      <w:r w:rsidRPr="004443A9">
        <w:t xml:space="preserve"> species is reported, which, for such genus, can be seen as the first effort to explore the evolutionary history of the large family of TPS genes involved in specialized metabolism. Finally, an approach is described in which the phylogeny of TPSs in </w:t>
      </w:r>
      <w:r w:rsidRPr="004443A9">
        <w:rPr>
          <w:i/>
        </w:rPr>
        <w:t>Pinus</w:t>
      </w:r>
      <w:r w:rsidRPr="004443A9">
        <w:t xml:space="preserve"> spp. has been exploited to isolate for the first time mono-TPS sequences from </w:t>
      </w:r>
      <w:r w:rsidRPr="004443A9">
        <w:rPr>
          <w:i/>
        </w:rPr>
        <w:t>Pinus nigra</w:t>
      </w:r>
      <w:r w:rsidRPr="004443A9">
        <w:t xml:space="preserve"> subsp. </w:t>
      </w:r>
      <w:r w:rsidRPr="004443A9">
        <w:rPr>
          <w:i/>
        </w:rPr>
        <w:t>laricio</w:t>
      </w:r>
      <w:r w:rsidRPr="004443A9">
        <w:t>, an ecologically important endemic pine in the Mediterranean area.</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Alkhadher, S.A.A., Kadir, A.A., Zakaria, M.P., Al-Gheethi, A., Keshavarzifard, M., Masood, N., Alenezi, K.M., Magam, S.M., </w:t>
      </w:r>
      <w:r w:rsidR="00616347">
        <w:t xml:space="preserve">2020. </w:t>
      </w:r>
      <w:r w:rsidRPr="004443A9">
        <w:t>Linear alkylbenzenes in surface sediments of an estuarine and marine environment in peninsular Malaysia. Marine Pollution Bulletin 153, 111013.</w:t>
      </w:r>
    </w:p>
    <w:p w:rsidR="00DB42FE" w:rsidRPr="004443A9" w:rsidRDefault="00DB42FE" w:rsidP="00616347">
      <w:pPr>
        <w:pStyle w:val="EndNoteBibliography"/>
        <w:ind w:left="360"/>
      </w:pPr>
      <w:r w:rsidRPr="004443A9">
        <w:t>http://www.sciencedirect.com/science/article/pii/S0025326X20301314</w:t>
      </w:r>
    </w:p>
    <w:p w:rsidR="00DB42FE" w:rsidRPr="004443A9" w:rsidRDefault="00DB42FE" w:rsidP="00616347">
      <w:pPr>
        <w:pStyle w:val="EndNoteBibliography"/>
        <w:spacing w:after="0"/>
        <w:ind w:left="360"/>
      </w:pPr>
      <w:r w:rsidRPr="004443A9">
        <w:t>Linear alkylbenzenes were determined in the surface sediments of Muar River and Pulau Merambong, Peninsular Malaysia. The concentrations ranged from 87.4 ng g</w:t>
      </w:r>
      <w:r w:rsidRPr="004443A9">
        <w:rPr>
          <w:vertAlign w:val="superscript"/>
        </w:rPr>
        <w:t>−1</w:t>
      </w:r>
      <w:r w:rsidRPr="004443A9">
        <w:t xml:space="preserve"> to 188.1 ng g</w:t>
      </w:r>
      <w:r w:rsidRPr="004443A9">
        <w:rPr>
          <w:vertAlign w:val="superscript"/>
        </w:rPr>
        <w:t>−1</w:t>
      </w:r>
      <w:r w:rsidRPr="004443A9">
        <w:t xml:space="preserve"> and from 67.4 ng g</w:t>
      </w:r>
      <w:r w:rsidRPr="004443A9">
        <w:rPr>
          <w:vertAlign w:val="superscript"/>
        </w:rPr>
        <w:t>−1</w:t>
      </w:r>
      <w:r w:rsidRPr="004443A9">
        <w:t xml:space="preserve"> to 98.2 ng g</w:t>
      </w:r>
      <w:r w:rsidRPr="004443A9">
        <w:rPr>
          <w:vertAlign w:val="superscript"/>
        </w:rPr>
        <w:t>−1</w:t>
      </w:r>
      <w:r w:rsidRPr="004443A9">
        <w:t xml:space="preserve"> of dry weight, respectively. The composition profiles of LABs were characterized, and sewage treatment levels were identified. The ratios of internal to external isomers (I/E ratios) of the linear alkylbenzenes in Muar River sediments ranged from 1.7 to 2.2, whereas those of Pulau Merambong sediments ranged from 1.6 to 1.7. The calculated LAB ratios indicated that the study areas received primary and secondary sewage effluents. The degradation of linear alkylbenzenes in Muar River ranged from 33% to 43%, and that in Pulau Merambong ranged from 33% to 34%. The higher degradation indices in Muar River are a sign of improvement in wastewater treatment.</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Alldritt, B., Hapala, P., Oinonen, N., Urtev, F., Krejci, O., Federici Canova, F., Kannala, J., Schulz, F., Liljeroth, P., Foster, A.S., </w:t>
      </w:r>
      <w:r w:rsidR="00616347">
        <w:t xml:space="preserve">2020. </w:t>
      </w:r>
      <w:r w:rsidRPr="004443A9">
        <w:t>Automated structure discovery in atomic force microscopy. Science Advances 6, eaay6913.</w:t>
      </w:r>
    </w:p>
    <w:p w:rsidR="00DB42FE" w:rsidRPr="004443A9" w:rsidRDefault="00DB42FE" w:rsidP="00616347">
      <w:pPr>
        <w:pStyle w:val="EndNoteBibliography"/>
        <w:ind w:left="360"/>
      </w:pPr>
      <w:r w:rsidRPr="004443A9">
        <w:t>http://advances.sciencemag.org/content/6/9/eaay6913.abstract</w:t>
      </w:r>
    </w:p>
    <w:p w:rsidR="00DB42FE" w:rsidRPr="004443A9" w:rsidRDefault="00DB42FE" w:rsidP="00616347">
      <w:pPr>
        <w:pStyle w:val="EndNoteBibliography"/>
        <w:spacing w:after="0"/>
        <w:ind w:left="360"/>
      </w:pPr>
      <w:r w:rsidRPr="004443A9">
        <w:t xml:space="preserve">Atomic force microscopy (AFM) with molecule-functionalized tips has emerged as the primary experimental technique for probing the atomic structure of organic molecules on surfaces. Most experiments have been limited to nearly planar aromatic molecules due to difficulties with interpretation of highly distorted AFM images originating from nonplanar molecules. Here, we develop a deep learning infrastructure that matches a set of AFM images with a unique descriptor characterizing the molecular configuration, allowing us to predict the molecular structure directly. </w:t>
      </w:r>
      <w:r w:rsidRPr="004443A9">
        <w:lastRenderedPageBreak/>
        <w:t>We apply this methodology to resolve several distinct adsorption configurations of 1S-camphor on Cu(111) based on low-temperature AFM measurements. This approach will open the door to applying high-resolution AFM to a large variety of systems, for which routine atomic and chemical structural resolution on the level of individual objects/molecules would be a major breakthrough.</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Almeida, N.M.d., Alves, T.M., Nepomuceno Filho, F., Freire, G.S.S., Souza, A.C.B.d., Normando, M.N., Oliveira, K.M.L., Barbosa, T.H.d.S., </w:t>
      </w:r>
      <w:r w:rsidR="00616347">
        <w:t xml:space="preserve">2020. </w:t>
      </w:r>
      <w:r w:rsidRPr="004443A9">
        <w:t>Tectono-sedimentary evolution and petroleum systems of the Mundaú subbasin: A new deep-water exploration frontier in equatorial Brazil. American Association of Petroleum Geologists Bulletin 104, 795-824.</w:t>
      </w:r>
    </w:p>
    <w:p w:rsidR="00DB42FE" w:rsidRPr="004443A9" w:rsidRDefault="00DB42FE" w:rsidP="00616347">
      <w:pPr>
        <w:pStyle w:val="EndNoteBibliography"/>
        <w:ind w:left="360"/>
      </w:pPr>
      <w:r w:rsidRPr="004443A9">
        <w:t>http://archives.datapages.com/data/bulletns/2020/04apr/BLTN17381/bltn17381.html</w:t>
      </w:r>
    </w:p>
    <w:p w:rsidR="00DB42FE" w:rsidRPr="004443A9" w:rsidRDefault="00DB42FE" w:rsidP="00616347">
      <w:pPr>
        <w:pStyle w:val="EndNoteBibliography"/>
        <w:spacing w:after="0"/>
        <w:ind w:left="360"/>
      </w:pPr>
      <w:r w:rsidRPr="004443A9">
        <w:t>The Brazilian equatorial margin (BEM) evolved in response to transform motion between Brazil and Africa. In 2012, Petrobras drilled the Pecém well in the Mundaú subbasin (Ceará Basin) of the BEM to record the first deep-water oil discovery in the region. This work investigates the deep-water evolution of the Mundaú subbasin focusing on its structural and sedimentary evolution, and characterizes the petroleum systems in this new exploration frontier. For such purposes, poststack seismic reflection, borehole, and geochemical data were used. Three tectono-stratigraphic sequences representing synrift (Mundaú Formation), transitional (Paracuru Formation), and drift strata (Ubarana Formation) were divided into seven seismic units. Different tectonic domains were interpreted: proximal, distal, and Romanche Fracture Zone. Typical structures of transform margins, such as marginal ridges and marginal plateaus, were not identified in the Mundaú subbasin. Instead, the subbasin was predominantly deformed by transtensional movements. The Mundaú and Paracuru Formations are mature within the oil window, whereas the Ubarana Formation is immature. Main reservoir intervals consist of approximately 1-m (</w:t>
      </w:r>
      <w:r w:rsidRPr="004443A9">
        <w:rPr>
          <w:rFonts w:ascii="Cambria Math" w:hAnsi="Cambria Math" w:cs="Cambria Math"/>
        </w:rPr>
        <w:t>∼</w:t>
      </w:r>
      <w:r w:rsidRPr="004443A9">
        <w:t>3.28-ft)-thick intercalations of sandstone between shales, siltstones, and marls. The seal rocks comprise shales in the Ubarana Formation, whereas the hydrocarbon trap is related to an unconformity and a normal fault. This work concludes that the Paracuru Formation is the main source and reservoir in the deep-water Mundaú subbasin, effectively comprising a Paracuru–Paracuru petroleum system. The results have significant implications for petroleum exploration in the BEM by proposing a developed transitional petroleum system in the distal parts of northeastern Brazil.</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Amaral, V., Romera-Castillo, C., Forja, J., </w:t>
      </w:r>
      <w:r w:rsidR="00616347">
        <w:t xml:space="preserve">2020. </w:t>
      </w:r>
      <w:r w:rsidRPr="004443A9">
        <w:t>Dissolved organic matter in the Gulf of Cádiz: Distribution and drivers of chromophoric and fluorescent properties. Frontiers in Marine Science 7, 126. doi: 10.3389/fmars.2020.00126.</w:t>
      </w:r>
    </w:p>
    <w:p w:rsidR="00DB42FE" w:rsidRPr="004443A9" w:rsidRDefault="00DB42FE" w:rsidP="00616347">
      <w:pPr>
        <w:pStyle w:val="EndNoteBibliography"/>
        <w:ind w:left="360"/>
      </w:pPr>
      <w:r w:rsidRPr="004443A9">
        <w:t>https://www.frontiersin.org/article/10.3389/fmars.2020.00126</w:t>
      </w:r>
    </w:p>
    <w:p w:rsidR="00DB42FE" w:rsidRPr="004443A9" w:rsidRDefault="00DB42FE" w:rsidP="00616347">
      <w:pPr>
        <w:pStyle w:val="EndNoteBibliography"/>
        <w:spacing w:after="0"/>
        <w:ind w:left="360"/>
      </w:pPr>
      <w:r w:rsidRPr="004443A9">
        <w:t xml:space="preserve">The Gulf of Cádiz (GoC) connects the Mediterranean Sea with the Atlantic Ocean through the Strait of Gibraltar. Particular hydrographic processes take place in the GoC, such as riverine discharges and surface circulation marked by wind-induced seasonal upwelling. Although physical processes have been widely studied, little is known about the biogeochemical processes that occur in the basin, especially those involving organic matter. Therefore, vertical and seasonal dynamics of dissolved organic carbon (DOC) and optical properties of dissolved organic matter (DOM, absorbance and fluorescence) were measured in 766 samples collected between 5 and 800 m depth during four oceanographic cruises to obtain quantitative and qualitative information about DOM in the GoC. We performed parallel factor analysis (PARAFAC) to identify the main fluorophores present in the GoC, </w:t>
      </w:r>
      <w:r w:rsidRPr="004443A9">
        <w:lastRenderedPageBreak/>
        <w:t>and an optimum multiparameter water mass analysis to differentiate the effect of water mass mixing from the biogeochemical processes in deep waters. PARAFAC analysis validated six fluorescent components; three humic-like, two protein-like, and a possible mixture of polycyclic aromatic hydrocarbon-like with protein-like material. DOC average concentration was 77.0 ± 12.7 μM, with higher values in surface and coastal waters during summer, mainly related to primary production. Linear relationships between DOC and apparent oxygen utilization indicate differences in oxygen consumption within the deep waters, which could be related to upwelling zones. Seasonal and spatial differences were also observed in the distribution of fluorescent DOM. Protein-like components were the most abundant fraction, with an average contribution of 64.75% ± 7.85%, being higher in summer and surface waters, associated with an increase in biological activity. Our results indicate that water mass mixing is the main driver of the major humic-like components, while biogeochemical processes at a local scale explain DOC and protein-like components distribution. Our findings suggest that modeling DOM dynamics in the GoC is complicated due to its complex hydrography and the presence of multiple sources and sinks of DOM.</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Amor, M., Tharaud, M., Gélabert, A., Komeili, A., </w:t>
      </w:r>
      <w:r w:rsidR="00616347">
        <w:t xml:space="preserve">2020. </w:t>
      </w:r>
      <w:r w:rsidRPr="004443A9">
        <w:t>Single-cell determination of iron content in magnetotactic bacteria: implications for the iron biogeochemical cycle. Environmental Microbiology 22, 823-831.</w:t>
      </w:r>
    </w:p>
    <w:p w:rsidR="00DB42FE" w:rsidRPr="004443A9" w:rsidRDefault="00DB42FE" w:rsidP="00616347">
      <w:pPr>
        <w:pStyle w:val="EndNoteBibliography"/>
        <w:ind w:left="360"/>
      </w:pPr>
      <w:r w:rsidRPr="004443A9">
        <w:t>https://doi.org/10.1111/1462-2920.14708</w:t>
      </w:r>
    </w:p>
    <w:p w:rsidR="00DB42FE" w:rsidRPr="004443A9" w:rsidRDefault="00DB42FE" w:rsidP="00616347">
      <w:pPr>
        <w:pStyle w:val="EndNoteBibliography"/>
        <w:spacing w:after="0"/>
        <w:ind w:left="360"/>
      </w:pPr>
      <w:r w:rsidRPr="004443A9">
        <w:t xml:space="preserve">Magnetotactic bacteria (MTB) are ubiquitous aquatic microorganisms that mineralize dissolved iron into intracellular magnetic crystals. After cell death, these crystals are trapped into sediments that remove iron from the soluble pool. MTB may significantly impact the iron biogeochemical cycle, especially in the ocean where dissolved iron limits nitrogen fixation and primary productivity. A thorough assessment of their impact has been hampered by a lack of methodology to measure the amount of, and variability in, their intracellular iron content. We quantified the iron mass contained in single MTB cells of </w:t>
      </w:r>
      <w:r w:rsidRPr="004443A9">
        <w:rPr>
          <w:i/>
        </w:rPr>
        <w:t>Magnetospirillum magneticum</w:t>
      </w:r>
      <w:r w:rsidRPr="004443A9">
        <w:t xml:space="preserve"> strain AMB‐1 using a time‐resolved inductively coupled plasma‐mass spectrometry methodology. Bacterial iron content depends on the external iron concentration, and reaches a maximum value of ~10</w:t>
      </w:r>
      <w:r w:rsidRPr="004443A9">
        <w:rPr>
          <w:vertAlign w:val="superscript"/>
        </w:rPr>
        <w:t>−6</w:t>
      </w:r>
      <w:r w:rsidRPr="004443A9">
        <w:t xml:space="preserve"> ng of iron per cell. From these results, we calculated the flux of dissolved iron incorporation into environmental MTB populations and conclude that MTB may mineralize a significant fraction of dissolved iron into crystals.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Andersen, P.Ø., </w:t>
      </w:r>
      <w:r w:rsidR="00616347">
        <w:t xml:space="preserve">2020. </w:t>
      </w:r>
      <w:r w:rsidRPr="004443A9">
        <w:t>Capillary pressure effects on estimating the enhanced-oil-recovery potential during low-salinity and smart waterflooding. SPE Journal 25, 481-496.</w:t>
      </w:r>
    </w:p>
    <w:p w:rsidR="00DB42FE" w:rsidRPr="004443A9" w:rsidRDefault="00DB42FE" w:rsidP="00616347">
      <w:pPr>
        <w:pStyle w:val="EndNoteBibliography"/>
        <w:ind w:left="360"/>
      </w:pPr>
      <w:r w:rsidRPr="004443A9">
        <w:t>https://doi.org/10.2118/191974-PA</w:t>
      </w:r>
    </w:p>
    <w:p w:rsidR="00DB42FE" w:rsidRPr="004443A9" w:rsidRDefault="00DB42FE" w:rsidP="00616347">
      <w:pPr>
        <w:pStyle w:val="EndNoteBibliography"/>
        <w:ind w:left="360"/>
      </w:pPr>
      <w:r w:rsidRPr="004443A9">
        <w:t xml:space="preserve">Many experimental studies have investigated smart water and low-salinity waterflooding and observed significant incremental oil recovery after changes in the injected-brine composition. The common approach to model such enhanced-oil-recovery (EOR) mechanisms is by shifting the input relative permeability curves, particularly including a reduction of the residual oil saturation. Cores that originally display oil-wetness can retain much oil at the outlet of the flooded core because of the capillary pressure being zero at a high oil saturation. This end effect is difficult to overcome in highly permeable cores at typical laboratory rates. Injecting a brine that changes the wetting state to less-oil-wet conditions (represented by zero capillary pressure at a lower oil saturation) will lead </w:t>
      </w:r>
      <w:r w:rsidRPr="004443A9">
        <w:lastRenderedPageBreak/>
        <w:t>to a release of oil previously trapped at the outlet. Although this is chemically induced incremental oil, it represents a reduction of remaining oil saturation, not necessarily of residual oil saturation.</w:t>
      </w:r>
    </w:p>
    <w:p w:rsidR="00DB42FE" w:rsidRPr="004443A9" w:rsidRDefault="00DB42FE" w:rsidP="00616347">
      <w:pPr>
        <w:pStyle w:val="EndNoteBibliography"/>
        <w:spacing w:after="0"/>
        <w:ind w:left="360"/>
      </w:pPr>
      <w:r w:rsidRPr="004443A9">
        <w:t>This paper illustrates the mentioned issues of interpreting the difference in remaining and residual oil saturation during chemical EOR and hence the evaluation of potential smart water effects. We present a mathematical model representing coreflooding that accounts for wettability changes caused by changes in the injected composition. For purpose of illustration, this is performed in terms of adsorption of a wettability-alteration (WA) component coupled to the shifting of relative permeability curves and capillary pressure curves. The model is parameterized in accordance with experimental data by matching brine-dependent saturation functions to experiments where wettability alteration takes place dynamically because of the changing of one chemical component. It is seen that several effects can give an apparent smart water effect without having any real reduction of the residual oil saturation, including changes in the mobility ratio, where the oil already flowing is pushed more efficiently, and the magnitude of capillary end effects can be reduced because of increased water-wetness or because of a reduction in water relative permeability giving a greater viscous drag on the oil.</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Anhäuser, T., Sehls, B., Thomas, W., Hartl, C., Greule, M., Scholz, D., Esper, J., Keppler, F., </w:t>
      </w:r>
      <w:r w:rsidR="00616347">
        <w:t xml:space="preserve">2020. </w:t>
      </w:r>
      <w:r w:rsidRPr="004443A9">
        <w:t>Tree-ring δ</w:t>
      </w:r>
      <w:r w:rsidRPr="004443A9">
        <w:rPr>
          <w:vertAlign w:val="superscript"/>
        </w:rPr>
        <w:t>2</w:t>
      </w:r>
      <w:r w:rsidRPr="004443A9">
        <w:t>H values from lignin methoxyl groups indicate sensitivity to European-scale temperature changes. Palaeogeography, Palaeoclimatology, Palaeoecology 546, 109665.</w:t>
      </w:r>
    </w:p>
    <w:p w:rsidR="00DB42FE" w:rsidRPr="004443A9" w:rsidRDefault="00DB42FE" w:rsidP="00616347">
      <w:pPr>
        <w:pStyle w:val="EndNoteBibliography"/>
        <w:ind w:left="360"/>
      </w:pPr>
      <w:r w:rsidRPr="004443A9">
        <w:t>http://www.sciencedirect.com/science/article/pii/S0031018220301103</w:t>
      </w:r>
    </w:p>
    <w:p w:rsidR="00DB42FE" w:rsidRPr="004443A9" w:rsidRDefault="00DB42FE" w:rsidP="00616347">
      <w:pPr>
        <w:pStyle w:val="EndNoteBibliography"/>
        <w:spacing w:after="0"/>
        <w:ind w:left="360"/>
      </w:pPr>
      <w:r w:rsidRPr="004443A9">
        <w:t>Stable hydrogen isotope ratios of lignin methoxyl groups (δ</w:t>
      </w:r>
      <w:r w:rsidRPr="004443A9">
        <w:rPr>
          <w:vertAlign w:val="superscript"/>
        </w:rPr>
        <w:t>2</w:t>
      </w:r>
      <w:r w:rsidRPr="004443A9">
        <w:t>H</w:t>
      </w:r>
      <w:r w:rsidRPr="004443A9">
        <w:rPr>
          <w:vertAlign w:val="subscript"/>
        </w:rPr>
        <w:t>LM</w:t>
      </w:r>
      <w:r w:rsidRPr="004443A9">
        <w:t>) of wood have been shown to reflect climate-sensitive δ</w:t>
      </w:r>
      <w:r w:rsidRPr="004443A9">
        <w:rPr>
          <w:vertAlign w:val="superscript"/>
        </w:rPr>
        <w:t>2</w:t>
      </w:r>
      <w:r w:rsidRPr="004443A9">
        <w:t>H values of precipitation (δ</w:t>
      </w:r>
      <w:r w:rsidRPr="004443A9">
        <w:rPr>
          <w:vertAlign w:val="superscript"/>
        </w:rPr>
        <w:t>2</w:t>
      </w:r>
      <w:r w:rsidRPr="004443A9">
        <w:t>H</w:t>
      </w:r>
      <w:r w:rsidRPr="004443A9">
        <w:rPr>
          <w:vertAlign w:val="subscript"/>
        </w:rPr>
        <w:t>precip</w:t>
      </w:r>
      <w:r w:rsidRPr="004443A9">
        <w:t>). However, a detailed calibration study between high-resolution δ</w:t>
      </w:r>
      <w:r w:rsidRPr="004443A9">
        <w:rPr>
          <w:vertAlign w:val="superscript"/>
        </w:rPr>
        <w:t>2</w:t>
      </w:r>
      <w:r w:rsidRPr="004443A9">
        <w:t>H</w:t>
      </w:r>
      <w:r w:rsidRPr="004443A9">
        <w:rPr>
          <w:vertAlign w:val="subscript"/>
        </w:rPr>
        <w:t>LM</w:t>
      </w:r>
      <w:r w:rsidRPr="004443A9">
        <w:t xml:space="preserve"> and δ</w:t>
      </w:r>
      <w:r w:rsidRPr="004443A9">
        <w:rPr>
          <w:vertAlign w:val="superscript"/>
        </w:rPr>
        <w:t>2</w:t>
      </w:r>
      <w:r w:rsidRPr="004443A9">
        <w:t>H</w:t>
      </w:r>
      <w:r w:rsidRPr="004443A9">
        <w:rPr>
          <w:vertAlign w:val="subscript"/>
        </w:rPr>
        <w:t>precip</w:t>
      </w:r>
      <w:r w:rsidRPr="004443A9">
        <w:t xml:space="preserve"> data has not been performed yet. Here, we present annually resolved δ</w:t>
      </w:r>
      <w:r w:rsidRPr="004443A9">
        <w:rPr>
          <w:vertAlign w:val="superscript"/>
        </w:rPr>
        <w:t>2</w:t>
      </w:r>
      <w:r w:rsidRPr="004443A9">
        <w:t>H</w:t>
      </w:r>
      <w:r w:rsidRPr="004443A9">
        <w:rPr>
          <w:vertAlign w:val="subscript"/>
        </w:rPr>
        <w:t>LM</w:t>
      </w:r>
      <w:r w:rsidRPr="004443A9">
        <w:t xml:space="preserve"> values from nine tree-ring series (derived from four </w:t>
      </w:r>
      <w:r w:rsidRPr="004443A9">
        <w:rPr>
          <w:i/>
        </w:rPr>
        <w:t>Fagus sylvatica</w:t>
      </w:r>
      <w:r w:rsidRPr="004443A9">
        <w:t xml:space="preserve"> L. trees) collected near a station of the Global Isotope Network of Isotopes in Precipitation (GNIP) and the meteorological observatory at Hohenpeißenberg (Germany; ~48°N, 11°E). The nine δ</w:t>
      </w:r>
      <w:r w:rsidRPr="004443A9">
        <w:rPr>
          <w:vertAlign w:val="superscript"/>
        </w:rPr>
        <w:t>2</w:t>
      </w:r>
      <w:r w:rsidRPr="004443A9">
        <w:t>H</w:t>
      </w:r>
      <w:r w:rsidRPr="004443A9">
        <w:rPr>
          <w:vertAlign w:val="subscript"/>
        </w:rPr>
        <w:t>LM</w:t>
      </w:r>
      <w:r w:rsidRPr="004443A9">
        <w:t xml:space="preserve"> tree-ring series show highly significant inter-series correlations (Rbar = 0.52) over the common period of overlap 1916–2015 and no sign of a major juvenile trend affecting the first decades of growth. When compared with local instrumental data, the combined δ</w:t>
      </w:r>
      <w:r w:rsidRPr="004443A9">
        <w:rPr>
          <w:vertAlign w:val="superscript"/>
        </w:rPr>
        <w:t>2</w:t>
      </w:r>
      <w:r w:rsidRPr="004443A9">
        <w:t>H</w:t>
      </w:r>
      <w:r w:rsidRPr="004443A9">
        <w:rPr>
          <w:vertAlign w:val="subscript"/>
        </w:rPr>
        <w:t>LM</w:t>
      </w:r>
      <w:r w:rsidRPr="004443A9">
        <w:t xml:space="preserve"> chronology is most indicative for annually averaged δ</w:t>
      </w:r>
      <w:r w:rsidRPr="004443A9">
        <w:rPr>
          <w:vertAlign w:val="superscript"/>
        </w:rPr>
        <w:t>2</w:t>
      </w:r>
      <w:r w:rsidRPr="004443A9">
        <w:t>H</w:t>
      </w:r>
      <w:r w:rsidRPr="004443A9">
        <w:rPr>
          <w:vertAlign w:val="subscript"/>
        </w:rPr>
        <w:t>precip</w:t>
      </w:r>
      <w:r w:rsidRPr="004443A9">
        <w:t xml:space="preserve"> values. In line with this finding, the δ</w:t>
      </w:r>
      <w:r w:rsidRPr="004443A9">
        <w:rPr>
          <w:vertAlign w:val="superscript"/>
        </w:rPr>
        <w:t>2</w:t>
      </w:r>
      <w:r w:rsidRPr="004443A9">
        <w:t>H</w:t>
      </w:r>
      <w:r w:rsidRPr="004443A9">
        <w:rPr>
          <w:vertAlign w:val="subscript"/>
        </w:rPr>
        <w:t>LM</w:t>
      </w:r>
      <w:r w:rsidRPr="004443A9">
        <w:t xml:space="preserve"> chronology shows similar climatic imprints as commonly observed for European stable water isotopes. We find the highest correlation (</w:t>
      </w:r>
      <w:r w:rsidRPr="004443A9">
        <w:rPr>
          <w:i/>
        </w:rPr>
        <w:t>r</w:t>
      </w:r>
      <w:r w:rsidRPr="004443A9">
        <w:t xml:space="preserve"> = 0.72, </w:t>
      </w:r>
      <w:r w:rsidRPr="004443A9">
        <w:rPr>
          <w:i/>
        </w:rPr>
        <w:t>p</w:t>
      </w:r>
      <w:r w:rsidRPr="004443A9">
        <w:t xml:space="preserve"> &lt; 0.001) with temperature changes averaged over large-scale areas (range: 15°W–20°E, 25–75°N) including marine and continental Western Europe. This large-scale temperature signal is not entirely stable over time, but weakens from 1948 to 1982 where 31-year running correlations drop systematically. The temporal signal strength coincides with a decline in Rbar values but also with known anomalous atmospheric circulation events (e.g., winter of 1956). We conclude two main findings. First, the temporal robustness of the transfer model is mainly controlled by the internal coherency among the tree-ring δ</w:t>
      </w:r>
      <w:r w:rsidRPr="004443A9">
        <w:rPr>
          <w:vertAlign w:val="superscript"/>
        </w:rPr>
        <w:t>2</w:t>
      </w:r>
      <w:r w:rsidRPr="004443A9">
        <w:t>H</w:t>
      </w:r>
      <w:r w:rsidRPr="004443A9">
        <w:rPr>
          <w:vertAlign w:val="subscript"/>
        </w:rPr>
        <w:t>LM</w:t>
      </w:r>
      <w:r w:rsidRPr="004443A9">
        <w:t xml:space="preserve"> series. An improved understanding of such temporal discrepancies among the proxy data may therefore optimize reconstruction models. Second, this study highlights the need to critically assess the impact of changing atmospheric circulation patterns on the relationship between climate parameters and stable water isotopes.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lastRenderedPageBreak/>
        <w:t xml:space="preserve">Arneson Westbrook, L., Chase, D.A., Mudge, J., Hughes, S.A., Lyon, D., Dong, M., Carr, D., Anderson, T.A., </w:t>
      </w:r>
      <w:r w:rsidR="00616347">
        <w:t xml:space="preserve">2020. </w:t>
      </w:r>
      <w:r w:rsidRPr="004443A9">
        <w:t>Terrestrial toxicity of synthetic gas-to-liquid versus crude oil–derived drilling fluids in soil. Environmental Toxicology and Chemistry 39, 721-730.</w:t>
      </w:r>
    </w:p>
    <w:p w:rsidR="00DB42FE" w:rsidRPr="004443A9" w:rsidRDefault="00DB42FE" w:rsidP="00616347">
      <w:pPr>
        <w:pStyle w:val="EndNoteBibliography"/>
        <w:ind w:left="360"/>
      </w:pPr>
      <w:r w:rsidRPr="004443A9">
        <w:t>https://doi.org/10.1002/etc.4658</w:t>
      </w:r>
    </w:p>
    <w:p w:rsidR="00DB42FE" w:rsidRPr="004443A9" w:rsidRDefault="00DB42FE" w:rsidP="00616347">
      <w:pPr>
        <w:pStyle w:val="EndNoteBibliography"/>
        <w:spacing w:after="0"/>
        <w:ind w:left="360"/>
      </w:pPr>
      <w:r w:rsidRPr="004443A9">
        <w:t>Unlike most other conventional petroleum products that are derived from crude oil, gas‐to‐liquids (GTLs) are petroleum products that are synthesized from natural gas (methane). This process results in GTL products having no sulfur and low aromatic content, so they should have less impact on human health and the environment compared with crude oil–derived products. The GTLs have been registered for use as nonaqueous base fluids (NABFs) in drilling muds, which aid in the process of drilling wells for oil and gas extraction; it is through these uses and others that they enter terrestrial environments. The primary objective of the present study was to determine whether GTLs were less toxic to terrestrial soil biota than conventional NABFs used for land‐based drilling, such as diesel and low‐toxicity mineral oil (LTMO). A second objective was to understand the fate and impact of these fluids under more realistic soil and aging conditions of a common west Texas (USA) oil‐producing region (i.e., sandy loam soil with low organic matter and a hot arid climate). Acute terrestrial toxicity studies were conducted on the soft‐bodied terrestrial invertebrate earthworm (</w:t>
      </w:r>
      <w:r w:rsidRPr="004443A9">
        <w:rPr>
          <w:i/>
        </w:rPr>
        <w:t>Eisenia fetida</w:t>
      </w:r>
      <w:r w:rsidRPr="004443A9">
        <w:t>) along with 3 plant species—alfalfa (</w:t>
      </w:r>
      <w:r w:rsidRPr="004443A9">
        <w:rPr>
          <w:i/>
        </w:rPr>
        <w:t>Medicago stavia</w:t>
      </w:r>
      <w:r w:rsidRPr="004443A9">
        <w:t>), thickspike wheatgrass (</w:t>
      </w:r>
      <w:r w:rsidRPr="004443A9">
        <w:rPr>
          <w:i/>
        </w:rPr>
        <w:t>Elymus lanceolatus</w:t>
      </w:r>
      <w:r w:rsidRPr="004443A9">
        <w:t>), and fourwing saltbrush (</w:t>
      </w:r>
      <w:r w:rsidRPr="004443A9">
        <w:rPr>
          <w:i/>
        </w:rPr>
        <w:t>Atriplex canescens</w:t>
      </w:r>
      <w:r w:rsidRPr="004443A9">
        <w:t>). We also assessed changes in microbial community structure of the soils following additions of NABF. Overall, the GTL NABFs had lower toxicity compared with conventional NABFs like diesel and LTMO, as measured by invertebrate toxicity, plant seed germination, and impact on the microbial community.</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Arora, D., Gupta, P., Jaglan, S., Roullier, C., Grovel, O., Bertrand, S., </w:t>
      </w:r>
      <w:r w:rsidR="00616347">
        <w:t xml:space="preserve">2020. </w:t>
      </w:r>
      <w:r w:rsidRPr="004443A9">
        <w:t>Expanding the chemical diversity through microorganisms co-culture: Current status and outlook. Biotechnology Advances 40, 107521.</w:t>
      </w:r>
    </w:p>
    <w:p w:rsidR="00DB42FE" w:rsidRPr="004443A9" w:rsidRDefault="00DB42FE" w:rsidP="00616347">
      <w:pPr>
        <w:pStyle w:val="EndNoteBibliography"/>
        <w:ind w:left="360"/>
      </w:pPr>
      <w:r w:rsidRPr="004443A9">
        <w:t>http://www.sciencedirect.com/science/article/pii/S0734975020300185</w:t>
      </w:r>
    </w:p>
    <w:p w:rsidR="00DB42FE" w:rsidRPr="004443A9" w:rsidRDefault="00DB42FE" w:rsidP="00616347">
      <w:pPr>
        <w:pStyle w:val="EndNoteBibliography"/>
        <w:spacing w:after="0"/>
        <w:ind w:left="360"/>
      </w:pPr>
      <w:r w:rsidRPr="004443A9">
        <w:t>Natural products (NPs) are considered as a cornerstone for the generation of bioactive leads in drug discovery programs. However, one of the major limitations of NP drug discovery program is “rediscovery” of known compounds, thereby hindering the rate of drug discovery efficiency. Therefore, in recent years, to overcome these limitations, a great deal of attention has been drawn towards understanding the role of microorganisms’ co-culture in inducing novel chemical entities. Such induction could be related to activation of genes which might be silent or expressed at very low levels (below detection limit) in pure-strain cultures under normal laboratory conditions. In this review, chemical diversity of compounds isolated from microbial co-cultures, is discussed. For this purpose, chemodiversity has been represented as a chemical-structure network based on the “Tanimoto Structural Similarity Index”. This highlights the huge structural diversity induced by microbial co-culture. In addition, the current trends in microbial co-culture research are highlighted. Finally, the current challenges (1 - induction monitoring, 2 - reproducibility, 3 - growth time effect and 4 - up-scaling for isolation purposes) are discussed. The information in this review will support researchers to design microbial co-culture strategies for future research efforts. In addition, guidelines for co-culture induction reporting are also provided to strengthen future reporting in this NP field.</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lastRenderedPageBreak/>
        <w:t xml:space="preserve">Artemieva, N., Morgan, J., </w:t>
      </w:r>
      <w:r w:rsidR="00616347">
        <w:t xml:space="preserve">2020. </w:t>
      </w:r>
      <w:r w:rsidRPr="004443A9">
        <w:t>Global K-Pg layer deposited from a dust cloud. Geophysical Research Letters 47, e2019GL086562.</w:t>
      </w:r>
    </w:p>
    <w:p w:rsidR="00DB42FE" w:rsidRPr="004443A9" w:rsidRDefault="00DB42FE" w:rsidP="00616347">
      <w:pPr>
        <w:pStyle w:val="EndNoteBibliography"/>
        <w:ind w:left="360"/>
      </w:pPr>
      <w:r w:rsidRPr="004443A9">
        <w:t>https://doi.org/10.1029/2019GL086562</w:t>
      </w:r>
    </w:p>
    <w:p w:rsidR="00DB42FE" w:rsidRPr="004443A9" w:rsidRDefault="00DB42FE" w:rsidP="00616347">
      <w:pPr>
        <w:pStyle w:val="EndNoteBibliography"/>
        <w:ind w:left="360"/>
      </w:pPr>
      <w:r w:rsidRPr="004443A9">
        <w:t>Abstract: Although it is widely agreed that the distal K‐Pg clay layer contains ejecta from the Chicxulub impact site, no current models can explain how these ejecta travel from the impact site around the globe. A widely accepted hypothesis is that impact spherules and shocked minerals in the layer were ejected from an expanding impact plume and traveled to their final destination on a ballistic path. Shocked minerals, however, are ejected at too low a velocity to reach distal sites, and plausible ballistic ejection models cannot explain the observed ejecta distribution. Using a suite of numerical simulations, we find that intense interactions between the ejecta curtain and atmosphere generate a fast‐moving dust cloud traveling at speeds of a few kilometers per second, which carries a substantial fraction of ejecta, including shocked minerals, to distal sites. We conclude that ejecta curtain material must make a major contribution to the formation of the distal K‐Pg layer.</w:t>
      </w:r>
    </w:p>
    <w:p w:rsidR="00DB42FE" w:rsidRPr="004443A9" w:rsidRDefault="00DB42FE" w:rsidP="00616347">
      <w:pPr>
        <w:pStyle w:val="EndNoteBibliography"/>
        <w:spacing w:after="0"/>
        <w:ind w:left="360"/>
      </w:pPr>
      <w:r w:rsidRPr="004443A9">
        <w:t>Plain Language Summary: We first discovered that the Earth had been hit by a large asteroid 66 million years ago when a thin clay layer was found to have an extraterrestrial chemistry. This layer is unique in the geological record—it can be found all around the world and contains material that originated from the asteroid and Chicxulub impact site. To date, no models have been able to adequately explain how these impact ejecta traveled all around the world. In this paper we show that intense interactions between the high‐velocity ejecta and atmosphere produce a fast‐moving dust cloud, which is able to transport these ejecta much further than previously thought.</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Atwood, T.B., Witt, A., Mayorga, J., Hammill, E., Sala, E., </w:t>
      </w:r>
      <w:r w:rsidR="00616347">
        <w:t xml:space="preserve">2020. </w:t>
      </w:r>
      <w:r w:rsidRPr="004443A9">
        <w:t>Global patterns in marine sediment carbon stocks. Frontiers in Marine Science 7, 165. doi: 10.3389/fmars.2020.00165.</w:t>
      </w:r>
    </w:p>
    <w:p w:rsidR="00DB42FE" w:rsidRPr="004443A9" w:rsidRDefault="00DB42FE" w:rsidP="00616347">
      <w:pPr>
        <w:pStyle w:val="EndNoteBibliography"/>
        <w:ind w:left="360"/>
      </w:pPr>
      <w:r w:rsidRPr="004443A9">
        <w:t>https://www.frontiersin.org/article/10.3389/fmars.2020.00165</w:t>
      </w:r>
    </w:p>
    <w:p w:rsidR="00DB42FE" w:rsidRPr="004443A9" w:rsidRDefault="00DB42FE" w:rsidP="00616347">
      <w:pPr>
        <w:pStyle w:val="EndNoteBibliography"/>
        <w:spacing w:after="0"/>
        <w:ind w:left="360"/>
      </w:pPr>
      <w:r w:rsidRPr="004443A9">
        <w:t xml:space="preserve">To develop more accurate global carbon (C) budgets and to better inform management of human activities in the ocean, we need high-resolution estimates of marine C stocks. Here we quantify global marine sedimentary C stocks at a 1-km resolution, and find that marine sediments store </w:t>
      </w:r>
      <w:r w:rsidRPr="004443A9">
        <w:rPr>
          <w:rFonts w:ascii="Cambria Math" w:hAnsi="Cambria Math" w:cs="Cambria Math"/>
        </w:rPr>
        <w:t>∼</w:t>
      </w:r>
      <w:r w:rsidRPr="004443A9">
        <w:t xml:space="preserve"> 3117 (3006</w:t>
      </w:r>
      <w:r w:rsidRPr="004443A9">
        <w:rPr>
          <w:rFonts w:cs="Calibri"/>
        </w:rPr>
        <w:t>–</w:t>
      </w:r>
      <w:r w:rsidRPr="004443A9">
        <w:t xml:space="preserve">3209) Pg C in the top 1 m (more than twice that of terrestrial soils). Sediments in abyss/basin zones account for 75% of the global marine sediment C stock, and 52% of that stock is within the 200-mile Exclusive Economic Zones of countries. Currently, only </w:t>
      </w:r>
      <w:r w:rsidRPr="004443A9">
        <w:rPr>
          <w:rFonts w:ascii="Cambria Math" w:hAnsi="Cambria Math" w:cs="Cambria Math"/>
        </w:rPr>
        <w:t>∼</w:t>
      </w:r>
      <w:r w:rsidRPr="004443A9">
        <w:t>2% of sediment C stocks are located in highly to fully protected areas that prevent the disturbance of the seafloor. Our results show that marine sediments represent a large and globally important C sink. However, the lack of protection for marine C stocks makes them highly vulnerable to human disturbances that can lead to their remineralization to CO</w:t>
      </w:r>
      <w:r w:rsidRPr="004443A9">
        <w:rPr>
          <w:vertAlign w:val="subscript"/>
        </w:rPr>
        <w:t>2</w:t>
      </w:r>
      <w:r w:rsidRPr="004443A9">
        <w:t>, further aggravating climate change impacts.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Baatsen, M., von der Heydt, A.S., Huber, M., Kliphuis, M.A., Bijl, P.K., Sluijs, A., Dijkstra, H.A., </w:t>
      </w:r>
      <w:r w:rsidR="00616347">
        <w:t xml:space="preserve">2020. </w:t>
      </w:r>
      <w:r w:rsidRPr="004443A9">
        <w:t>The middle-to-late Eocene greenhouse climate, modelled using the CESM 1.0.5. Climate of the Past Discussions 2020, 1-44.</w:t>
      </w:r>
    </w:p>
    <w:p w:rsidR="00DB42FE" w:rsidRPr="004443A9" w:rsidRDefault="00DB42FE" w:rsidP="00616347">
      <w:pPr>
        <w:pStyle w:val="EndNoteBibliography"/>
        <w:ind w:left="360"/>
      </w:pPr>
      <w:r w:rsidRPr="004443A9">
        <w:t>https://www.clim-past-discuss.net/cp-2020-29/</w:t>
      </w:r>
    </w:p>
    <w:p w:rsidR="00DB42FE" w:rsidRPr="004443A9" w:rsidRDefault="00DB42FE" w:rsidP="00616347">
      <w:pPr>
        <w:pStyle w:val="EndNoteBibliography"/>
        <w:ind w:left="360"/>
      </w:pPr>
      <w:r w:rsidRPr="004443A9">
        <w:t xml:space="preserve">While the early Eocene has been considered in many modelling studies, detailed simulations of the middle and late Eocene climate are currently scarce. To get a better understanding of both Antarctic </w:t>
      </w:r>
      <w:r w:rsidRPr="004443A9">
        <w:lastRenderedPageBreak/>
        <w:t>glaciation at the Eocene-Oligocene transition (~34 Ma) and late middle Eocene warmth, it is vital to have an adequate reconstruction of the middle-to-late Eocene climate. Results of higher (CMIP5-like) resolution coupled climate simulations are represented here using the Community Earth System Model (CESM) version 1. Two middle-to-late Eocene cases are considered with the same general boundary conditions but a different radiative forcing, using a new detailed 38 Ma geography reconstruction.</w:t>
      </w:r>
    </w:p>
    <w:p w:rsidR="00DB42FE" w:rsidRPr="004443A9" w:rsidRDefault="00DB42FE" w:rsidP="00616347">
      <w:pPr>
        <w:pStyle w:val="EndNoteBibliography"/>
        <w:ind w:left="360"/>
      </w:pPr>
      <w:r w:rsidRPr="004443A9">
        <w:t>Under 4× pre-industrial concentrations (PIC) of both CO</w:t>
      </w:r>
      <w:r w:rsidRPr="004443A9">
        <w:rPr>
          <w:vertAlign w:val="subscript"/>
        </w:rPr>
        <w:t>2</w:t>
      </w:r>
      <w:r w:rsidRPr="004443A9">
        <w:t xml:space="preserve"> (i.e. 1120 ppm) and CH</w:t>
      </w:r>
      <w:r w:rsidRPr="004443A9">
        <w:rPr>
          <w:vertAlign w:val="subscript"/>
        </w:rPr>
        <w:t>4</w:t>
      </w:r>
      <w:r w:rsidRPr="004443A9">
        <w:t xml:space="preserve"> (~2700 ppb), equilibrium sea surface temperatures correspond well to the available late middle Eocene (42–38 Ma; ~Bartonian) proxies. Being generally cooler, the simulated climate under 2× PIC forcing is a good analog for that of the late Eocene (38–34 Ma; ~Priabonian). Terrestrial temperature proxies, although their geographical coverage is sparse, also indicate that the results presented here are realistic.</w:t>
      </w:r>
    </w:p>
    <w:p w:rsidR="00DB42FE" w:rsidRPr="004443A9" w:rsidRDefault="00DB42FE" w:rsidP="00616347">
      <w:pPr>
        <w:pStyle w:val="EndNoteBibliography"/>
        <w:ind w:left="360"/>
      </w:pPr>
      <w:r w:rsidRPr="004443A9">
        <w:t>The reconstructed 38 Ma climate has a reduced equator-to-pole temperature gradient and a more symmetric meridional heat distribution compared to the pre-industrial reference. The collective effects of geography, vegetation and ice accounts for a global mean 5–7 °C difference between pre-industrial and 38 Ma Eocene boundary conditions, with important contributions from cloud and water vapour feedbacks. These simulations effectively show that a realistic middle-to-late Eocene climate can be reconstructed without the need for greenhouse gas concentrations much higher than proxy estimates (i.e. ~500–1200 ppm CO</w:t>
      </w:r>
      <w:r w:rsidRPr="004443A9">
        <w:rPr>
          <w:vertAlign w:val="subscript"/>
        </w:rPr>
        <w:t>2</w:t>
      </w:r>
      <w:r w:rsidRPr="004443A9">
        <w:t>).</w:t>
      </w:r>
    </w:p>
    <w:p w:rsidR="00DB42FE" w:rsidRPr="004443A9" w:rsidRDefault="00DB42FE" w:rsidP="00616347">
      <w:pPr>
        <w:pStyle w:val="EndNoteBibliography"/>
        <w:spacing w:after="0"/>
        <w:ind w:left="360"/>
      </w:pPr>
      <w:r w:rsidRPr="004443A9">
        <w:t>Equilibrium climate sensitivity is reduced (0.62 °C/W m</w:t>
      </w:r>
      <w:r w:rsidRPr="004443A9">
        <w:rPr>
          <w:vertAlign w:val="superscript"/>
        </w:rPr>
        <w:t>2</w:t>
      </w:r>
      <w:r w:rsidRPr="004443A9">
        <w:t>; 3.2 °C warming between 38 Ma 2× PIC and 4× PIC) compared to that of the present-day climate (0.79 °C/W m</w:t>
      </w:r>
      <w:r w:rsidRPr="004443A9">
        <w:rPr>
          <w:vertAlign w:val="superscript"/>
        </w:rPr>
        <w:t>2</w:t>
      </w:r>
      <w:r w:rsidRPr="004443A9">
        <w:t>; 3.1 °C per CO</w:t>
      </w:r>
      <w:r w:rsidRPr="004443A9">
        <w:rPr>
          <w:vertAlign w:val="subscript"/>
        </w:rPr>
        <w:t>2</w:t>
      </w:r>
      <w:r w:rsidRPr="004443A9">
        <w:t xml:space="preserve"> doubling). Despite very limited sea ice and snow cover in both 38Ma cases, the model still shows a factor ~2 polar amplification in response to a further increase of atmospheric greenhouse gas concentrations. High latitudes in the modelled Eocene climate are mainly kept warm by an altered radiative balance in combination with global changes in geography and the absence of polar ice sheets compared to the pre-industrial reference.</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Bai, F., Liu, Y., Lai, C., Sun, Y., Wang, J., Sun, P., Xue, L., Zhao, J., Guo, M., </w:t>
      </w:r>
      <w:r w:rsidR="00616347">
        <w:t xml:space="preserve">2020. </w:t>
      </w:r>
      <w:r w:rsidRPr="004443A9">
        <w:t>Thermal degradations and processes of four kerogens via thermogravimetric–Fourier-transform infrared: Pyrolysis performances, products, and kinetics. Energy &amp; Fuels 34, 2969-2979.</w:t>
      </w:r>
    </w:p>
    <w:p w:rsidR="00DB42FE" w:rsidRPr="004443A9" w:rsidRDefault="00DB42FE" w:rsidP="00616347">
      <w:pPr>
        <w:pStyle w:val="EndNoteBibliography"/>
        <w:ind w:left="360"/>
      </w:pPr>
      <w:r w:rsidRPr="004443A9">
        <w:t>https://doi.org/10.1021/acs.energyfuels.9b04231</w:t>
      </w:r>
    </w:p>
    <w:p w:rsidR="00DB42FE" w:rsidRPr="004443A9" w:rsidRDefault="00DB42FE" w:rsidP="00616347">
      <w:pPr>
        <w:pStyle w:val="EndNoteBibliography"/>
        <w:spacing w:after="0"/>
        <w:ind w:left="360"/>
      </w:pPr>
      <w:r w:rsidRPr="004443A9">
        <w:t>The thermal upgrading of kerogen into fuels has scientific and industrial importance in oil shale utilization. In this study, multiple methods were applied to clarify the pyrolysis behaviors of four kerogens from the Huadian (HD) Basin, Fushun (FS) Basin, Luozigou (LZG) Basin, and Dachanggou (DCG) Basin oil shales. Two model-free isoconversional methods and a master plot were utilized to evaluate the kinetic parameters, and the Coats–Redfern method was used to verify the estimated kinetic results. The results indicated that all studied oil shales had very good hydrocarbon generation potential. HD, FS, and LZG oil shales could be described as type I kerogen, whereas DCG oil shale was type II</w:t>
      </w:r>
      <w:r w:rsidRPr="004443A9">
        <w:rPr>
          <w:vertAlign w:val="subscript"/>
        </w:rPr>
        <w:t>1</w:t>
      </w:r>
      <w:r w:rsidRPr="004443A9">
        <w:t xml:space="preserve"> kerogen with high aromatic content. HD kerogen featured a stronger polarity and contained more aliphatic structures compared with the three other samples, which induced the mass loss of its first stage at </w:t>
      </w:r>
      <w:r w:rsidRPr="004443A9">
        <w:rPr>
          <w:rFonts w:ascii="Cambria Math" w:hAnsi="Cambria Math" w:cs="Cambria Math"/>
        </w:rPr>
        <w:t>∼</w:t>
      </w:r>
      <w:r w:rsidRPr="004443A9">
        <w:t xml:space="preserve">38%, even larger than that of its second pyrolysis stage; the activation energies of the main pyrolysis stage of HD kerogen could also be divided clearly into two stages and in accordance with the thermogravimetric results. The thermal cracking processes of these FS, LZG, </w:t>
      </w:r>
      <w:r w:rsidRPr="004443A9">
        <w:lastRenderedPageBreak/>
        <w:t>and DCG kerogens were mainly concentrated in the second pyrolysis stage, and the activation energies of FS and LZG kerogens did not show a considerable variation with conversion degrees. Moreover, DCG kerogen possessed the largest amount of aromatic structures which resulted in high yields of char, and the activation energies of the main pyrolysis stage of DCG kerogen was almost the largest, especially when the conversation rate was above 0.7. Evolution behaviors of oil and gas products at different temperatures during pyrolysis were related to the cleavage of chemical bonds in kerogen. CH</w:t>
      </w:r>
      <w:r w:rsidRPr="004443A9">
        <w:rPr>
          <w:vertAlign w:val="subscript"/>
        </w:rPr>
        <w:t>4</w:t>
      </w:r>
      <w:r w:rsidRPr="004443A9">
        <w:t xml:space="preserve"> and light C</w:t>
      </w:r>
      <w:r w:rsidRPr="004443A9">
        <w:rPr>
          <w:vertAlign w:val="subscript"/>
        </w:rPr>
        <w:t>2+</w:t>
      </w:r>
      <w:r w:rsidRPr="004443A9">
        <w:t xml:space="preserve"> aliphatic hydrocarbons were the typical gaseous products released from the main reaction stages of all four kerogens, and the evolving behavior of each typical gaseous product of four kerogens featured good similarity. The results showed that aliphatic and aromatic carbon contents in kerogen had a remarkable effect on its thermal characteristic and kinetic parameters, and the saturated aliphatic bonds and oxygen-containing bonds were easy to crack and had potentially low activation energy of reaction compared with those of aromatic bonds. Results of the master plot and Coats–Redfern methods verified that the Avrami–Erofeev kinetic model was the optimal model for the pyrolysis of the studied kerogens, thereby indicating that the four kerogens evolved under a similar genetic condition.</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Bai, S., Kubelka, J., Piri, M., </w:t>
      </w:r>
      <w:r w:rsidR="00616347">
        <w:t xml:space="preserve">2020. </w:t>
      </w:r>
      <w:r w:rsidRPr="004443A9">
        <w:t>Atomistic molecular dynamics simulations of surfactant-induced wettability alteration in crevices of calcite nanopores. Energy &amp; Fuels 34, 3135-3143.</w:t>
      </w:r>
    </w:p>
    <w:p w:rsidR="00DB42FE" w:rsidRPr="004443A9" w:rsidRDefault="00DB42FE" w:rsidP="00616347">
      <w:pPr>
        <w:pStyle w:val="EndNoteBibliography"/>
        <w:ind w:left="360"/>
      </w:pPr>
      <w:r w:rsidRPr="004443A9">
        <w:t>https://doi.org/10.1021/acs.energyfuels.9b04528</w:t>
      </w:r>
    </w:p>
    <w:p w:rsidR="00DB42FE" w:rsidRPr="004443A9" w:rsidRDefault="00DB42FE" w:rsidP="00616347">
      <w:pPr>
        <w:pStyle w:val="EndNoteBibliography"/>
        <w:spacing w:after="0"/>
        <w:ind w:left="360"/>
      </w:pPr>
      <w:r w:rsidRPr="004443A9">
        <w:t>Wettability alteration is an important mechanism in surfactant-facilitated enhanced oil recovery (EOR) in oil-wet carbonate reservoirs. An in-depth understanding of how surfactants influence the wettability of calcite surfaces is of crucial importance. In this study, atomistic molecular dynamics simulations were used to elucidate how the nonionic and anionic surfactants influence the wettability at the corners of angular calcite pores. A multicomponent oil model was constructed based on a chemical analysis of an unconventional reservoir crude oil. It was found that the inclusion of the calcite surface water layer caused a significant decrease in the attraction between the surface and the surfactant molecules from hundreds of kJ/mol to essentially zero. The surface water layer is therefore critical for an accurate description of calcite wettability. Simulated flooding of the oil-filled calcite pore with both types of surfactants was compared to that with blank brine. It was found that the tested surfactants alter the wettability of the calcite surface mainly by hydrophobic interactions with the adsorbed polar oil components and by weakening the interactions between polar and nonpolar oil components. The wettability alteration resulted in a 20–30° reduction in contact angles, while the ratio of the polar-to-nonpolar oil components within the pore decreased by approximately 50% by the surfactants as compared to just brine. The results presented in this work can provide guidance for selection of the most effective surfactants for oilfield applications.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Bâldea, I., </w:t>
      </w:r>
      <w:r w:rsidR="00616347">
        <w:t xml:space="preserve">2020. </w:t>
      </w:r>
      <w:r w:rsidRPr="004443A9">
        <w:t>Extensive quantum chemistry study of neutral and charged C</w:t>
      </w:r>
      <w:r w:rsidRPr="004443A9">
        <w:rPr>
          <w:vertAlign w:val="subscript"/>
        </w:rPr>
        <w:t>4</w:t>
      </w:r>
      <w:r w:rsidRPr="004443A9">
        <w:t>N chains: An attempt to aid astronomical observations. ACS Earth and Space Chemistry 4, 434-448.</w:t>
      </w:r>
    </w:p>
    <w:p w:rsidR="00DB42FE" w:rsidRPr="004443A9" w:rsidRDefault="00DB42FE" w:rsidP="00616347">
      <w:pPr>
        <w:pStyle w:val="EndNoteBibliography"/>
        <w:ind w:left="360"/>
      </w:pPr>
      <w:r w:rsidRPr="004443A9">
        <w:t>https://doi.org/10.1021/acsearthspacechem.9b00321</w:t>
      </w:r>
    </w:p>
    <w:p w:rsidR="00DB42FE" w:rsidRPr="004443A9" w:rsidRDefault="00DB42FE" w:rsidP="00616347">
      <w:pPr>
        <w:pStyle w:val="EndNoteBibliography"/>
        <w:spacing w:after="0"/>
        <w:ind w:left="360"/>
      </w:pPr>
      <w:r w:rsidRPr="004443A9">
        <w:t>Many molecular species can presumably still be observed in space if they are adequately characterized chemically. In this paper, we suggest that this could be the case of the neutral (C</w:t>
      </w:r>
      <w:r w:rsidRPr="004443A9">
        <w:rPr>
          <w:vertAlign w:val="subscript"/>
        </w:rPr>
        <w:t>4</w:t>
      </w:r>
      <w:r w:rsidRPr="004443A9">
        <w:t>N</w:t>
      </w:r>
      <w:r w:rsidRPr="004443A9">
        <w:rPr>
          <w:vertAlign w:val="superscript"/>
        </w:rPr>
        <w:t>0</w:t>
      </w:r>
      <w:r w:rsidRPr="004443A9">
        <w:t>) and anion (C</w:t>
      </w:r>
      <w:r w:rsidRPr="004443A9">
        <w:rPr>
          <w:vertAlign w:val="subscript"/>
        </w:rPr>
        <w:t>4</w:t>
      </w:r>
      <w:r w:rsidRPr="004443A9">
        <w:t>N</w:t>
      </w:r>
      <w:r w:rsidRPr="004443A9">
        <w:rPr>
          <w:vertAlign w:val="superscript"/>
        </w:rPr>
        <w:t>–</w:t>
      </w:r>
      <w:r w:rsidRPr="004443A9">
        <w:t xml:space="preserve">) cyanopropynylidene chains, which were not yet identified in space although both </w:t>
      </w:r>
      <w:r w:rsidRPr="004443A9">
        <w:lastRenderedPageBreak/>
        <w:t>the neutral (C</w:t>
      </w:r>
      <w:r w:rsidRPr="004443A9">
        <w:rPr>
          <w:vertAlign w:val="subscript"/>
        </w:rPr>
        <w:t>3</w:t>
      </w:r>
      <w:r w:rsidRPr="004443A9">
        <w:t>N</w:t>
      </w:r>
      <w:r w:rsidRPr="004443A9">
        <w:rPr>
          <w:vertAlign w:val="superscript"/>
        </w:rPr>
        <w:t>0</w:t>
      </w:r>
      <w:r w:rsidRPr="004443A9">
        <w:t xml:space="preserve"> and C</w:t>
      </w:r>
      <w:r w:rsidRPr="004443A9">
        <w:rPr>
          <w:vertAlign w:val="subscript"/>
        </w:rPr>
        <w:t>5</w:t>
      </w:r>
      <w:r w:rsidRPr="004443A9">
        <w:t>N</w:t>
      </w:r>
      <w:r w:rsidRPr="004443A9">
        <w:rPr>
          <w:vertAlign w:val="superscript"/>
        </w:rPr>
        <w:t>0</w:t>
      </w:r>
      <w:r w:rsidRPr="004443A9">
        <w:t>) and anion (C</w:t>
      </w:r>
      <w:r w:rsidRPr="004443A9">
        <w:rPr>
          <w:vertAlign w:val="subscript"/>
        </w:rPr>
        <w:t>3</w:t>
      </w:r>
      <w:r w:rsidRPr="004443A9">
        <w:t>N</w:t>
      </w:r>
      <w:r w:rsidRPr="004443A9">
        <w:rPr>
          <w:vertAlign w:val="superscript"/>
        </w:rPr>
        <w:t>–</w:t>
      </w:r>
      <w:r w:rsidRPr="004443A9">
        <w:t xml:space="preserve"> and C</w:t>
      </w:r>
      <w:r w:rsidRPr="004443A9">
        <w:rPr>
          <w:vertAlign w:val="subscript"/>
        </w:rPr>
        <w:t>5</w:t>
      </w:r>
      <w:r w:rsidRPr="004443A9">
        <w:t>N</w:t>
      </w:r>
      <w:r w:rsidRPr="004443A9">
        <w:rPr>
          <w:vertAlign w:val="superscript"/>
        </w:rPr>
        <w:t>–</w:t>
      </w:r>
      <w:r w:rsidRPr="004443A9">
        <w:t>) neighboring members of the homologous series were observed. Extensive data obtained from quantum chemical calculations using density functional theory (DFT), coupled-cluster (CC), and quadratic configuration interaction (QCI) methods for all charge and spin states of interest for space science (doublet and quartet neutrals, triplet and singlet anions, and singlet and triplet cations) are reported, e.g., bond metric and natural bond order data, enthalpies of formation, dissociation and reaction energies, spin gaps, rotational constants, vibrational properties, dipole and quadrupole moments, electron attachment energies (EAs), and ionization potentials (IPs). The fact that (not only for C</w:t>
      </w:r>
      <w:r w:rsidRPr="004443A9">
        <w:rPr>
          <w:vertAlign w:val="subscript"/>
        </w:rPr>
        <w:t>4</w:t>
      </w:r>
      <w:r w:rsidRPr="004443A9">
        <w:t>N but also for C</w:t>
      </w:r>
      <w:r w:rsidRPr="004443A9">
        <w:rPr>
          <w:vertAlign w:val="subscript"/>
        </w:rPr>
        <w:t>2</w:t>
      </w:r>
      <w:r w:rsidRPr="004443A9">
        <w:t>N and C</w:t>
      </w:r>
      <w:r w:rsidRPr="004443A9">
        <w:rPr>
          <w:vertAlign w:val="subscript"/>
        </w:rPr>
        <w:t>6</w:t>
      </w:r>
      <w:r w:rsidRPr="004443A9">
        <w:t>N) the quantum chemical methods utilized here are able to excellently reproduce the experimental EA value, which is often a challenge for theory, is particularly encouraging, since this indicates that theoretical estimates of chemical reactivity indices (which are key input parameters for modeling astrochemical evolution) can be trusted. The presently calculated enthalpies of formation and dissociation energies do not substantiate any reason to assume that C</w:t>
      </w:r>
      <w:r w:rsidRPr="004443A9">
        <w:rPr>
          <w:vertAlign w:val="subscript"/>
        </w:rPr>
        <w:t>4</w:t>
      </w:r>
      <w:r w:rsidRPr="004443A9">
        <w:t>N is absent in space. To further support this idea, we analyze potential chemical pathways of formation of both C</w:t>
      </w:r>
      <w:r w:rsidRPr="004443A9">
        <w:rPr>
          <w:vertAlign w:val="subscript"/>
        </w:rPr>
        <w:t>4</w:t>
      </w:r>
      <w:r w:rsidRPr="004443A9">
        <w:t>N</w:t>
      </w:r>
      <w:r w:rsidRPr="004443A9">
        <w:rPr>
          <w:vertAlign w:val="superscript"/>
        </w:rPr>
        <w:t>0</w:t>
      </w:r>
      <w:r w:rsidRPr="004443A9">
        <w:t xml:space="preserve"> and C</w:t>
      </w:r>
      <w:r w:rsidRPr="004443A9">
        <w:rPr>
          <w:vertAlign w:val="subscript"/>
        </w:rPr>
        <w:t>4</w:t>
      </w:r>
      <w:r w:rsidRPr="004443A9">
        <w:t>N</w:t>
      </w:r>
      <w:r w:rsidRPr="004443A9">
        <w:rPr>
          <w:vertAlign w:val="superscript"/>
        </w:rPr>
        <w:t>–</w:t>
      </w:r>
      <w:r w:rsidRPr="004443A9">
        <w:t>, which include association and exchange reactions. In view of the substantially larger dipole moment (</w:t>
      </w:r>
      <w:r w:rsidRPr="004443A9">
        <w:rPr>
          <w:i/>
        </w:rPr>
        <w:t>D</w:t>
      </w:r>
      <w:r w:rsidRPr="004443A9">
        <w:rPr>
          <w:vertAlign w:val="subscript"/>
        </w:rPr>
        <w:t>anion</w:t>
      </w:r>
      <w:r w:rsidRPr="004443A9">
        <w:t xml:space="preserve"> </w:t>
      </w:r>
      <w:r w:rsidRPr="004443A9">
        <w:rPr>
          <w:rFonts w:ascii="Cambria Math" w:hAnsi="Cambria Math" w:cs="Cambria Math"/>
        </w:rPr>
        <w:t>≫</w:t>
      </w:r>
      <w:r w:rsidRPr="004443A9">
        <w:t xml:space="preserve"> </w:t>
      </w:r>
      <w:r w:rsidRPr="004443A9">
        <w:rPr>
          <w:i/>
        </w:rPr>
        <w:t>D</w:t>
      </w:r>
      <w:r w:rsidRPr="004443A9">
        <w:rPr>
          <w:vertAlign w:val="subscript"/>
        </w:rPr>
        <w:t>neutral</w:t>
      </w:r>
      <w:r w:rsidRPr="004443A9">
        <w:t>), we suggest that astronomical detection should first focus on C</w:t>
      </w:r>
      <w:r w:rsidRPr="004443A9">
        <w:rPr>
          <w:vertAlign w:val="subscript"/>
        </w:rPr>
        <w:t>4</w:t>
      </w:r>
      <w:r w:rsidRPr="004443A9">
        <w:t>N</w:t>
      </w:r>
      <w:r w:rsidRPr="004443A9">
        <w:rPr>
          <w:rFonts w:cs="Calibri"/>
          <w:vertAlign w:val="superscript"/>
        </w:rPr>
        <w:t>–</w:t>
      </w:r>
      <w:r w:rsidRPr="004443A9">
        <w:t xml:space="preserve"> chains rather than on neutral C</w:t>
      </w:r>
      <w:r w:rsidRPr="004443A9">
        <w:rPr>
          <w:vertAlign w:val="subscript"/>
        </w:rPr>
        <w:t>4</w:t>
      </w:r>
      <w:r w:rsidRPr="004443A9">
        <w:t>N</w:t>
      </w:r>
      <w:r w:rsidRPr="004443A9">
        <w:rPr>
          <w:vertAlign w:val="superscript"/>
        </w:rPr>
        <w:t>0</w:t>
      </w:r>
      <w:r w:rsidRPr="004443A9">
        <w:t xml:space="preserve"> chains.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Barbosa, P.M., Melack, J.M., Amaral, J.H.F., MacIntyre, S., Kasper, D., Cortés, A., Farjalla, V.F., Forsberg, B.R., </w:t>
      </w:r>
      <w:r w:rsidR="00616347">
        <w:t xml:space="preserve">2020. </w:t>
      </w:r>
      <w:r w:rsidRPr="004443A9">
        <w:t>Dissolved methane concentrations and fluxes to the atmosphere from a tropical floodplain lake. Biogeochemistry 148, 129-151.</w:t>
      </w:r>
    </w:p>
    <w:p w:rsidR="00DB42FE" w:rsidRPr="004443A9" w:rsidRDefault="00DB42FE" w:rsidP="00616347">
      <w:pPr>
        <w:pStyle w:val="EndNoteBibliography"/>
        <w:ind w:left="360"/>
      </w:pPr>
      <w:r w:rsidRPr="004443A9">
        <w:t>https://doi.org/10.1007/s10533-020-00650-1</w:t>
      </w:r>
    </w:p>
    <w:p w:rsidR="00DB42FE" w:rsidRPr="004443A9" w:rsidRDefault="00DB42FE" w:rsidP="00616347">
      <w:pPr>
        <w:pStyle w:val="EndNoteBibliography"/>
        <w:spacing w:after="0"/>
        <w:ind w:left="360"/>
      </w:pPr>
      <w:r w:rsidRPr="004443A9">
        <w:t>Large uncertainties in estimates of methane (CH</w:t>
      </w:r>
      <w:r w:rsidRPr="004443A9">
        <w:rPr>
          <w:vertAlign w:val="subscript"/>
        </w:rPr>
        <w:t>4</w:t>
      </w:r>
      <w:r w:rsidRPr="004443A9">
        <w:t>) emissions from tropical inland waters reflect the paucity of information at appropriate temporal and spatial scales. CH</w:t>
      </w:r>
      <w:r w:rsidRPr="004443A9">
        <w:rPr>
          <w:vertAlign w:val="subscript"/>
        </w:rPr>
        <w:t>4</w:t>
      </w:r>
      <w:r w:rsidRPr="004443A9">
        <w:t xml:space="preserve"> concentrations, diffusive and ebullitive fluxes, and environmental parameters in contrasting aquatic habitats of Lake Janauacá, an Amazon floodplain lake, measured for two years revealed patterns in temporal and spatial variability related to different aquatic habitats and environmental conditions. CH</w:t>
      </w:r>
      <w:r w:rsidRPr="004443A9">
        <w:rPr>
          <w:vertAlign w:val="subscript"/>
        </w:rPr>
        <w:t>4</w:t>
      </w:r>
      <w:r w:rsidRPr="004443A9">
        <w:t xml:space="preserve"> concentrations ranged from below detection to 96 µM, CH</w:t>
      </w:r>
      <w:r w:rsidRPr="004443A9">
        <w:rPr>
          <w:vertAlign w:val="subscript"/>
        </w:rPr>
        <w:t>4</w:t>
      </w:r>
      <w:r w:rsidRPr="004443A9">
        <w:t xml:space="preserve"> diffusive fluxes from below detection to 2342 µmol m</w:t>
      </w:r>
      <w:r w:rsidRPr="004443A9">
        <w:rPr>
          <w:vertAlign w:val="superscript"/>
        </w:rPr>
        <w:t>−2</w:t>
      </w:r>
      <w:r w:rsidRPr="004443A9">
        <w:t xml:space="preserve"> h</w:t>
      </w:r>
      <w:r w:rsidRPr="004443A9">
        <w:rPr>
          <w:vertAlign w:val="superscript"/>
        </w:rPr>
        <w:t>−1</w:t>
      </w:r>
      <w:r w:rsidRPr="004443A9">
        <w:t>, and CH</w:t>
      </w:r>
      <w:r w:rsidRPr="004443A9">
        <w:rPr>
          <w:vertAlign w:val="subscript"/>
        </w:rPr>
        <w:t>4</w:t>
      </w:r>
      <w:r w:rsidRPr="004443A9">
        <w:t xml:space="preserve"> ebullitive fluxes from 0 to 190 mmol m</w:t>
      </w:r>
      <w:r w:rsidRPr="004443A9">
        <w:rPr>
          <w:vertAlign w:val="superscript"/>
        </w:rPr>
        <w:t>−2</w:t>
      </w:r>
      <w:r w:rsidRPr="004443A9">
        <w:t xml:space="preserve"> d</w:t>
      </w:r>
      <w:r w:rsidRPr="004443A9">
        <w:rPr>
          <w:vertAlign w:val="superscript"/>
        </w:rPr>
        <w:t>−1</w:t>
      </w:r>
      <w:r w:rsidRPr="004443A9">
        <w:t>. Vegetated aquatic habitats had higher surface CH</w:t>
      </w:r>
      <w:r w:rsidRPr="004443A9">
        <w:rPr>
          <w:vertAlign w:val="subscript"/>
        </w:rPr>
        <w:t>4</w:t>
      </w:r>
      <w:r w:rsidRPr="004443A9">
        <w:t xml:space="preserve"> concentrations than open water habitats, and no significant differences in diffusive CH</w:t>
      </w:r>
      <w:r w:rsidRPr="004443A9">
        <w:rPr>
          <w:vertAlign w:val="subscript"/>
        </w:rPr>
        <w:t>4</w:t>
      </w:r>
      <w:r w:rsidRPr="004443A9">
        <w:t xml:space="preserve"> fluxes, likely due to higher </w:t>
      </w:r>
      <w:r w:rsidRPr="004443A9">
        <w:rPr>
          <w:i/>
        </w:rPr>
        <w:t>k</w:t>
      </w:r>
      <w:r w:rsidRPr="004443A9">
        <w:t xml:space="preserve"> values measured in open water habitats. CH</w:t>
      </w:r>
      <w:r w:rsidRPr="004443A9">
        <w:rPr>
          <w:vertAlign w:val="subscript"/>
        </w:rPr>
        <w:t>4</w:t>
      </w:r>
      <w:r w:rsidRPr="004443A9">
        <w:t xml:space="preserve"> emissions were enhanced after a prolonged low water period, when the exposed sediments were colonized by herbaceous plants that decomposed after water levels rose, possibly fueling CH</w:t>
      </w:r>
      <w:r w:rsidRPr="004443A9">
        <w:rPr>
          <w:vertAlign w:val="subscript"/>
        </w:rPr>
        <w:t>4</w:t>
      </w:r>
      <w:r w:rsidRPr="004443A9">
        <w:t xml:space="preserve"> production. Statistical models indicated the importance of variables related to CH</w:t>
      </w:r>
      <w:r w:rsidRPr="004443A9">
        <w:rPr>
          <w:vertAlign w:val="subscript"/>
        </w:rPr>
        <w:t>4</w:t>
      </w:r>
      <w:r w:rsidRPr="004443A9">
        <w:t xml:space="preserve"> production (temperature, dissolved organic carbon) and consumption (dissolved nitrogen, oxygenated water column), as well as maximum depth, in controlling surface water CH</w:t>
      </w:r>
      <w:r w:rsidRPr="004443A9">
        <w:rPr>
          <w:vertAlign w:val="subscript"/>
        </w:rPr>
        <w:t>4</w:t>
      </w:r>
      <w:r w:rsidRPr="004443A9">
        <w:t xml:space="preserve"> concentrations.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Bastos, L.P.H., Pereira, E., da Costa Cavalcante, D., Ferreira Alferes, C.L., Jorge de Menezes, C., Rodrigues, R., </w:t>
      </w:r>
      <w:r w:rsidR="00616347">
        <w:t xml:space="preserve">2020. </w:t>
      </w:r>
      <w:r w:rsidRPr="004443A9">
        <w:t>Expression of Early Cretaceous global anoxic events in northeastern Brazilian basins. Cretaceous Research 110, 104390.</w:t>
      </w:r>
    </w:p>
    <w:p w:rsidR="00DB42FE" w:rsidRPr="004443A9" w:rsidRDefault="00DB42FE" w:rsidP="00616347">
      <w:pPr>
        <w:pStyle w:val="EndNoteBibliography"/>
        <w:ind w:left="360"/>
      </w:pPr>
      <w:r w:rsidRPr="004443A9">
        <w:t>http://www.sciencedirect.com/science/article/pii/S0195667119303829</w:t>
      </w:r>
    </w:p>
    <w:p w:rsidR="00DB42FE" w:rsidRPr="004443A9" w:rsidRDefault="00DB42FE" w:rsidP="00616347">
      <w:pPr>
        <w:pStyle w:val="EndNoteBibliography"/>
        <w:spacing w:after="0"/>
        <w:ind w:left="360"/>
      </w:pPr>
      <w:r w:rsidRPr="004443A9">
        <w:t xml:space="preserve">In different basins around the world, organic-rich layers from the Cretaceous are being associated with perturbations in the global carbon cycle that reflect abrupt climatic and oceanic changes </w:t>
      </w:r>
      <w:r w:rsidRPr="004443A9">
        <w:lastRenderedPageBreak/>
        <w:t>responsible for increased anoxia. In the northeastern part of Brazil, organic-rich rocks from the Parnaíba and São Luís basins—deposited during the late Aptian-early Albian and associated with the Codó Formation—offer an interesting stratigraphic record to evaluate the influence of oceanic anoxic events on restricted marine paleoenvironments. Therefore, an integrated study using different geochemical proxies (total organic carbon (TOC), Rock-Eval pyrolysis, δ</w:t>
      </w:r>
      <w:r w:rsidRPr="004443A9">
        <w:rPr>
          <w:vertAlign w:val="superscript"/>
        </w:rPr>
        <w:t>13</w:t>
      </w:r>
      <w:r w:rsidRPr="004443A9">
        <w:t>C</w:t>
      </w:r>
      <w:r w:rsidRPr="004443A9">
        <w:rPr>
          <w:vertAlign w:val="subscript"/>
        </w:rPr>
        <w:t>org</w:t>
      </w:r>
      <w:r w:rsidRPr="004443A9">
        <w:t>, δ</w:t>
      </w:r>
      <w:r w:rsidRPr="004443A9">
        <w:rPr>
          <w:vertAlign w:val="superscript"/>
        </w:rPr>
        <w:t>15</w:t>
      </w:r>
      <w:r w:rsidRPr="004443A9">
        <w:t>N</w:t>
      </w:r>
      <w:r w:rsidRPr="004443A9">
        <w:rPr>
          <w:vertAlign w:val="subscript"/>
        </w:rPr>
        <w:t>total</w:t>
      </w:r>
      <w:r w:rsidRPr="004443A9">
        <w:t>, and biomarkers) was conducted on sedimentary sections of the São Luís and Parnaíba basins (Codó Formation), which are assigned to the upper Aptian-lower Albian. The δ</w:t>
      </w:r>
      <w:r w:rsidRPr="004443A9">
        <w:rPr>
          <w:vertAlign w:val="superscript"/>
        </w:rPr>
        <w:t>13</w:t>
      </w:r>
      <w:r w:rsidRPr="004443A9">
        <w:t>C</w:t>
      </w:r>
      <w:r w:rsidRPr="004443A9">
        <w:rPr>
          <w:vertAlign w:val="subscript"/>
        </w:rPr>
        <w:t>org</w:t>
      </w:r>
      <w:r w:rsidRPr="004443A9">
        <w:t xml:space="preserve"> data obtained were compared with the isotopic δ</w:t>
      </w:r>
      <w:r w:rsidRPr="004443A9">
        <w:rPr>
          <w:vertAlign w:val="superscript"/>
        </w:rPr>
        <w:t>13</w:t>
      </w:r>
      <w:r w:rsidRPr="004443A9">
        <w:t>C</w:t>
      </w:r>
      <w:r w:rsidRPr="004443A9">
        <w:rPr>
          <w:vertAlign w:val="subscript"/>
        </w:rPr>
        <w:t>org</w:t>
      </w:r>
      <w:r w:rsidRPr="004443A9">
        <w:t xml:space="preserve"> profile from the section of the Santa Rosa Canyon (Mexico) where the record of the anoxic Aptian-Albian event (oceanic anoxic event 1b) was characterized. The stratigraphic record of the Codó Formation in both the basins presented the C11–C12 Cretaceous isotopic segments with clear </w:t>
      </w:r>
      <w:r w:rsidRPr="004443A9">
        <w:rPr>
          <w:vertAlign w:val="superscript"/>
        </w:rPr>
        <w:t>13</w:t>
      </w:r>
      <w:r w:rsidRPr="004443A9">
        <w:t>C</w:t>
      </w:r>
      <w:r w:rsidRPr="004443A9">
        <w:rPr>
          <w:vertAlign w:val="subscript"/>
        </w:rPr>
        <w:t>org</w:t>
      </w:r>
      <w:r w:rsidRPr="004443A9">
        <w:t xml:space="preserve"> depletion associated with a spike in TOC that reached 10% at Parnaíba Basin and 15% at São Luís Basin. At Parnaíba Basin, biomarker results showed a high abundance of the terpane gammacerane, suggesting conditions of water-mass stratification and hypersalinity, setting that took place in the southern hemisphere during OAE 1b and enhanced preservation of organic matter in different basins. Also, marine sources were evidenced by the predominance of the C</w:t>
      </w:r>
      <w:r w:rsidRPr="004443A9">
        <w:rPr>
          <w:vertAlign w:val="subscript"/>
        </w:rPr>
        <w:t>27</w:t>
      </w:r>
      <w:r w:rsidRPr="004443A9">
        <w:t xml:space="preserve"> ααα(R) sterane and by the identification of the C</w:t>
      </w:r>
      <w:r w:rsidRPr="004443A9">
        <w:rPr>
          <w:vertAlign w:val="subscript"/>
        </w:rPr>
        <w:t>30</w:t>
      </w:r>
      <w:r w:rsidRPr="004443A9">
        <w:t xml:space="preserve"> ααα(R) sterane. In addition, the presence of the biomarkers C</w:t>
      </w:r>
      <w:r w:rsidRPr="004443A9">
        <w:rPr>
          <w:vertAlign w:val="subscript"/>
        </w:rPr>
        <w:t>27</w:t>
      </w:r>
      <w:r w:rsidRPr="004443A9">
        <w:t xml:space="preserve"> trisnorhopane 17β, C</w:t>
      </w:r>
      <w:r w:rsidRPr="004443A9">
        <w:rPr>
          <w:vertAlign w:val="subscript"/>
        </w:rPr>
        <w:t>29</w:t>
      </w:r>
      <w:r w:rsidRPr="004443A9">
        <w:t>αβ and C</w:t>
      </w:r>
      <w:r w:rsidRPr="004443A9">
        <w:rPr>
          <w:vertAlign w:val="subscript"/>
        </w:rPr>
        <w:t>29</w:t>
      </w:r>
      <w:r w:rsidRPr="004443A9">
        <w:t xml:space="preserve"> ααα (R) sterane reflect the contribution of terrigenous material to organic matter, which is commonly observed during anoxic events due to the acceleration of the hydrological cycle. Nitrogen isotopes revealed a relatively positive value (greater than 3%) which suggests anaerobic reduction of NO</w:t>
      </w:r>
      <w:r w:rsidRPr="004443A9">
        <w:rPr>
          <w:vertAlign w:val="subscript"/>
        </w:rPr>
        <w:t>3</w:t>
      </w:r>
      <w:r w:rsidRPr="004443A9">
        <w:rPr>
          <w:vertAlign w:val="superscript"/>
        </w:rPr>
        <w:t>-</w:t>
      </w:r>
      <w:r w:rsidRPr="004443A9">
        <w:t xml:space="preserve"> to N</w:t>
      </w:r>
      <w:r w:rsidRPr="004443A9">
        <w:rPr>
          <w:vertAlign w:val="subscript"/>
        </w:rPr>
        <w:t>2</w:t>
      </w:r>
      <w:r w:rsidRPr="004443A9">
        <w:t xml:space="preserve"> under suboxic to anoxic conditions (denitrification). Otherwise, a negative δ</w:t>
      </w:r>
      <w:r w:rsidRPr="004443A9">
        <w:rPr>
          <w:vertAlign w:val="superscript"/>
        </w:rPr>
        <w:t>15</w:t>
      </w:r>
      <w:r w:rsidRPr="004443A9">
        <w:t>N trend was observed in samples from the negative δ</w:t>
      </w:r>
      <w:r w:rsidRPr="004443A9">
        <w:rPr>
          <w:vertAlign w:val="superscript"/>
        </w:rPr>
        <w:t>13</w:t>
      </w:r>
      <w:r w:rsidRPr="004443A9">
        <w:t>C</w:t>
      </w:r>
      <w:r w:rsidRPr="004443A9">
        <w:rPr>
          <w:vertAlign w:val="subscript"/>
        </w:rPr>
        <w:t>org</w:t>
      </w:r>
      <w:r w:rsidRPr="004443A9">
        <w:t xml:space="preserve"> trend which represented a high organic carbon content. This δ</w:t>
      </w:r>
      <w:r w:rsidRPr="004443A9">
        <w:rPr>
          <w:vertAlign w:val="superscript"/>
        </w:rPr>
        <w:t>15</w:t>
      </w:r>
      <w:r w:rsidRPr="004443A9">
        <w:t>N signature suggests a decrease in the available NO</w:t>
      </w:r>
      <w:r w:rsidRPr="004443A9">
        <w:rPr>
          <w:vertAlign w:val="subscript"/>
        </w:rPr>
        <w:t>3</w:t>
      </w:r>
      <w:r w:rsidRPr="004443A9">
        <w:rPr>
          <w:vertAlign w:val="superscript"/>
        </w:rPr>
        <w:t>-</w:t>
      </w:r>
      <w:r w:rsidRPr="004443A9">
        <w:t xml:space="preserve"> (beginning of exhaustion) and an enhanced level of nitrogen fixation by microbial organisms during the anoxic event, which is also supported by a higher abundance of prokaryotic biomarkers (hopanes) in the organic matter.</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Baumberger, T., Lilley, M.D., Lupton, J.E., Baker, E.T., Resing, J.A., Buck, N.J., Walker, S.L., Früh-Green, G.L., </w:t>
      </w:r>
      <w:r w:rsidR="00616347">
        <w:t xml:space="preserve">2020. </w:t>
      </w:r>
      <w:r w:rsidRPr="004443A9">
        <w:t>Dissolved gas and metal composition of hydrothermal plumes from a 2008 submarine eruption on the northeast Lau spreading center. Frontiers in Marine Science 7, 171. doi: 10.3389/fmars.2020.00171.</w:t>
      </w:r>
    </w:p>
    <w:p w:rsidR="00DB42FE" w:rsidRPr="004443A9" w:rsidRDefault="00DB42FE" w:rsidP="00616347">
      <w:pPr>
        <w:pStyle w:val="EndNoteBibliography"/>
        <w:ind w:left="360"/>
      </w:pPr>
      <w:r w:rsidRPr="004443A9">
        <w:t>https://www.frontiersin.org/article/10.3389/fmars.2020.00171</w:t>
      </w:r>
    </w:p>
    <w:p w:rsidR="00DB42FE" w:rsidRPr="004443A9" w:rsidRDefault="00DB42FE" w:rsidP="00616347">
      <w:pPr>
        <w:pStyle w:val="EndNoteBibliography"/>
        <w:spacing w:after="0"/>
        <w:ind w:left="360"/>
      </w:pPr>
      <w:r w:rsidRPr="004443A9">
        <w:t>Extrusion of lava onto the seafloor transports heat and mass from the lithosphere to the hydrosphere and the biosphere. During this process, large amounts of dissolved gases can be released into the ocean as hydrothermal plumes and serve as nutrients for microbial activity. Here, we report the dissolved gas and metal composition of hydrothermal plumes associated with a submarine eruption at the Northeast Lau Spreading Center (NELSC) in the SW Pacific Ocean in November 2008. During this eruption, two different types of plumes were observed in the water column: a shallow event plume rich in H</w:t>
      </w:r>
      <w:r w:rsidRPr="004443A9">
        <w:rPr>
          <w:vertAlign w:val="subscript"/>
        </w:rPr>
        <w:t>2</w:t>
      </w:r>
      <w:r w:rsidRPr="004443A9">
        <w:t xml:space="preserve"> and poor in </w:t>
      </w:r>
      <w:r w:rsidRPr="004443A9">
        <w:rPr>
          <w:vertAlign w:val="superscript"/>
        </w:rPr>
        <w:t>3</w:t>
      </w:r>
      <w:r w:rsidRPr="004443A9">
        <w:t>He and CH</w:t>
      </w:r>
      <w:r w:rsidRPr="004443A9">
        <w:rPr>
          <w:vertAlign w:val="subscript"/>
        </w:rPr>
        <w:t>4</w:t>
      </w:r>
      <w:r w:rsidRPr="004443A9">
        <w:t>, and a deep near-seafloor plume with high CH</w:t>
      </w:r>
      <w:r w:rsidRPr="004443A9">
        <w:rPr>
          <w:vertAlign w:val="subscript"/>
        </w:rPr>
        <w:t>4</w:t>
      </w:r>
      <w:r w:rsidRPr="004443A9">
        <w:t xml:space="preserve">, metals and </w:t>
      </w:r>
      <w:r w:rsidRPr="004443A9">
        <w:rPr>
          <w:vertAlign w:val="superscript"/>
        </w:rPr>
        <w:t>3</w:t>
      </w:r>
      <w:r w:rsidRPr="004443A9">
        <w:t>He and intermediate H</w:t>
      </w:r>
      <w:r w:rsidRPr="004443A9">
        <w:rPr>
          <w:vertAlign w:val="subscript"/>
        </w:rPr>
        <w:t>2</w:t>
      </w:r>
      <w:r w:rsidRPr="004443A9">
        <w:t xml:space="preserve"> concentrations. Both were generated at the same time and at the same location. While the high abundance of H</w:t>
      </w:r>
      <w:r w:rsidRPr="004443A9">
        <w:rPr>
          <w:vertAlign w:val="subscript"/>
        </w:rPr>
        <w:t>2</w:t>
      </w:r>
      <w:r w:rsidRPr="004443A9">
        <w:t xml:space="preserve"> in the event plume points to ongoing reactions between hot rock and seawater, the distinct chemical characteristics of the near-seafloor plume likely result from the release of a mature fluid stored in the crust. The plume chemistry of the event plume favors a seawater-lava interaction event plume generation model. However, the heat budget asks for an additional process releasing enough heat to lift the plume within the time frame of this short event. The extremely high H</w:t>
      </w:r>
      <w:r w:rsidRPr="004443A9">
        <w:rPr>
          <w:vertAlign w:val="subscript"/>
        </w:rPr>
        <w:t>2</w:t>
      </w:r>
      <w:r w:rsidRPr="004443A9">
        <w:t xml:space="preserve"> concentrations suggest that the </w:t>
      </w:r>
      <w:r w:rsidRPr="004443A9">
        <w:lastRenderedPageBreak/>
        <w:t>eruption was locally more explosive than assumed. A more explosive eruption style might enhance the heat flux from lava cooling.</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Bayram, S., </w:t>
      </w:r>
      <w:r w:rsidRPr="00DB42FE">
        <w:t>Fürst</w:t>
      </w:r>
      <w:r w:rsidRPr="004443A9">
        <w:t xml:space="preserve">, S., Forbes, M., Kempa, S., </w:t>
      </w:r>
      <w:r w:rsidR="00616347">
        <w:t xml:space="preserve">2020. </w:t>
      </w:r>
      <w:r w:rsidRPr="004443A9">
        <w:t>Analyzing central metabolism in ultra-high resolution - at the crossroad of carbon and nitrogen. Molecular Metabolism 33, 38-47.</w:t>
      </w:r>
    </w:p>
    <w:p w:rsidR="00DB42FE" w:rsidRPr="004443A9" w:rsidRDefault="00DB42FE" w:rsidP="00616347">
      <w:pPr>
        <w:pStyle w:val="EndNoteBibliography"/>
        <w:ind w:left="360"/>
      </w:pPr>
      <w:r w:rsidRPr="004443A9">
        <w:t>http://www.sciencedirect.com/science/article/pii/S2212877819309536</w:t>
      </w:r>
    </w:p>
    <w:p w:rsidR="00DB42FE" w:rsidRPr="004443A9" w:rsidRDefault="00DB42FE" w:rsidP="00616347">
      <w:pPr>
        <w:pStyle w:val="EndNoteBibliography"/>
        <w:ind w:left="360"/>
      </w:pPr>
      <w:r w:rsidRPr="004443A9">
        <w:t xml:space="preserve">Background: Cancer cell metabolism can be characterised by adaptive metabolic alterations which support abnormal proliferative cell growth with high energetic demand. </w:t>
      </w:r>
      <w:r w:rsidRPr="004443A9">
        <w:rPr>
          <w:i/>
        </w:rPr>
        <w:t>De novo</w:t>
      </w:r>
      <w:r w:rsidRPr="004443A9">
        <w:t xml:space="preserve"> nucleotide biosynthesis is essential for providing nucleotides for RNA and DNA synthesis, drugs targeting this biosynthetic pathway have proven to be e</w:t>
      </w:r>
      <w:r w:rsidRPr="004443A9">
        <w:rPr>
          <w:rFonts w:ascii="Cambria Math" w:hAnsi="Cambria Math" w:cs="Cambria Math"/>
        </w:rPr>
        <w:t>↵</w:t>
      </w:r>
      <w:r w:rsidRPr="004443A9">
        <w:t>ective anticancer therapeutics. Nevertheless, cancers are often able to circumvent chemotherapeutic interventions and become therapy resistant. Our understanding of the changing metabolic profile of the cancer cell, and the mode of action of therapeutics, is dependent on technological advances in biochemical analysis.</w:t>
      </w:r>
    </w:p>
    <w:p w:rsidR="00DB42FE" w:rsidRPr="004443A9" w:rsidRDefault="00DB42FE" w:rsidP="00616347">
      <w:pPr>
        <w:pStyle w:val="EndNoteBibliography"/>
        <w:ind w:left="360"/>
      </w:pPr>
      <w:r w:rsidRPr="004443A9">
        <w:t>Scope of Review: This review starts with information about carbon and nitrogen donating pathways to build purine and pyrimidine moieties in the course of nucleotide biosynthesis. We discuss the application of stable isotope resolved metabolomics to investigate the dynamics of cancer cell metabolism, and outline the benefits of high resolution accurate mass spectrometry that enables multiple tracer studies.</w:t>
      </w:r>
    </w:p>
    <w:p w:rsidR="00DB42FE" w:rsidRPr="004443A9" w:rsidRDefault="00DB42FE" w:rsidP="00616347">
      <w:pPr>
        <w:pStyle w:val="EndNoteBibliography"/>
        <w:spacing w:after="0"/>
        <w:ind w:left="360"/>
      </w:pPr>
      <w:r w:rsidRPr="004443A9">
        <w:t xml:space="preserve">Conclusion: With the technological advances in mass spectrometry that allows for the analysis of the metabolome in high resolution, the application of stable isotope resolved metabolomics became an important technique to investigate biological processes. The literature in the area of isotope labeling is dominated by </w:t>
      </w:r>
      <w:r w:rsidRPr="004443A9">
        <w:rPr>
          <w:vertAlign w:val="superscript"/>
        </w:rPr>
        <w:t>13</w:t>
      </w:r>
      <w:r w:rsidRPr="004443A9">
        <w:t>C tracer studies. Metabolic pathways have to be considered as complex interconnected networks and should be investigated as such. Moving forward to simultaneous tracing of di</w:t>
      </w:r>
      <w:r w:rsidRPr="004443A9">
        <w:rPr>
          <w:rFonts w:ascii="Cambria Math" w:hAnsi="Cambria Math" w:cs="Cambria Math"/>
        </w:rPr>
        <w:t>↵</w:t>
      </w:r>
      <w:r w:rsidRPr="004443A9">
        <w:t xml:space="preserve">erent stable isotopes will help elucidate the interplay between carbon and nitrogen flow and the dynamics of </w:t>
      </w:r>
      <w:r w:rsidRPr="004443A9">
        <w:rPr>
          <w:i/>
        </w:rPr>
        <w:t>de novo</w:t>
      </w:r>
      <w:r w:rsidRPr="004443A9">
        <w:t xml:space="preserve"> nucleotide biosynthesis within the cell.</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Bazarkina, E.F., Chou, I.M., Goncharov, A.F., Akinfiev, N.N., </w:t>
      </w:r>
      <w:r w:rsidR="00616347">
        <w:t xml:space="preserve">2020. </w:t>
      </w:r>
      <w:r w:rsidRPr="004443A9">
        <w:t>The behavior of H</w:t>
      </w:r>
      <w:r w:rsidRPr="004443A9">
        <w:rPr>
          <w:vertAlign w:val="subscript"/>
        </w:rPr>
        <w:t>2</w:t>
      </w:r>
      <w:r w:rsidRPr="004443A9">
        <w:t xml:space="preserve"> in aqueous fluids under high temperature and pressure. Elements 16, 33-38.</w:t>
      </w:r>
    </w:p>
    <w:p w:rsidR="00DB42FE" w:rsidRPr="004443A9" w:rsidRDefault="00DB42FE" w:rsidP="00616347">
      <w:pPr>
        <w:pStyle w:val="EndNoteBibliography"/>
        <w:ind w:left="360"/>
      </w:pPr>
      <w:r w:rsidRPr="004443A9">
        <w:t>https://doi.org/10.2138/gselements.16.1.33</w:t>
      </w:r>
    </w:p>
    <w:p w:rsidR="00DB42FE" w:rsidRPr="004443A9" w:rsidRDefault="00DB42FE" w:rsidP="00616347">
      <w:pPr>
        <w:pStyle w:val="EndNoteBibliography"/>
        <w:spacing w:after="0"/>
        <w:ind w:left="360"/>
      </w:pPr>
      <w:r w:rsidRPr="004443A9">
        <w:t>The presence of H</w:t>
      </w:r>
      <w:r w:rsidRPr="004443A9">
        <w:rPr>
          <w:vertAlign w:val="subscript"/>
        </w:rPr>
        <w:t>2</w:t>
      </w:r>
      <w:r w:rsidRPr="004443A9">
        <w:t xml:space="preserve"> and H</w:t>
      </w:r>
      <w:r w:rsidRPr="004443A9">
        <w:rPr>
          <w:vertAlign w:val="subscript"/>
        </w:rPr>
        <w:t>2</w:t>
      </w:r>
      <w:r w:rsidRPr="004443A9">
        <w:t>O in planetary interiors prompts the need for fundamental studies on these compounds under corresponding conditions. Here, we summarize data on H</w:t>
      </w:r>
      <w:r w:rsidRPr="004443A9">
        <w:rPr>
          <w:vertAlign w:val="subscript"/>
        </w:rPr>
        <w:t>2</w:t>
      </w:r>
      <w:r w:rsidRPr="004443A9">
        <w:t xml:space="preserve"> properties in aqueous systems under conditions of high temperature and pressure. We explain how to measure important H</w:t>
      </w:r>
      <w:r w:rsidRPr="004443A9">
        <w:rPr>
          <w:vertAlign w:val="subscript"/>
        </w:rPr>
        <w:t>2</w:t>
      </w:r>
      <w:r w:rsidRPr="004443A9">
        <w:t xml:space="preserve"> fugacities in hydrothermal systems. We present available experimental data and thermodynamic models for H</w:t>
      </w:r>
      <w:r w:rsidRPr="004443A9">
        <w:rPr>
          <w:vertAlign w:val="subscript"/>
        </w:rPr>
        <w:t>2</w:t>
      </w:r>
      <w:r w:rsidRPr="004443A9">
        <w:t xml:space="preserve"> solubility and vapor–liquid partitioning under hydrothermal conditions. In addition, we introduce the fascinating world of H</w:t>
      </w:r>
      <w:r w:rsidRPr="004443A9">
        <w:rPr>
          <w:vertAlign w:val="subscript"/>
        </w:rPr>
        <w:t>2</w:t>
      </w:r>
      <w:r w:rsidRPr="004443A9">
        <w:t>–H</w:t>
      </w:r>
      <w:r w:rsidRPr="004443A9">
        <w:rPr>
          <w:vertAlign w:val="subscript"/>
        </w:rPr>
        <w:t>2</w:t>
      </w:r>
      <w:r w:rsidRPr="004443A9">
        <w:t>O clathrate hydrates under extreme temperatures and pressures. The properties of the H</w:t>
      </w:r>
      <w:r w:rsidRPr="004443A9">
        <w:rPr>
          <w:vertAlign w:val="subscript"/>
        </w:rPr>
        <w:t>2</w:t>
      </w:r>
      <w:r w:rsidRPr="004443A9">
        <w:t>–H</w:t>
      </w:r>
      <w:r w:rsidRPr="004443A9">
        <w:rPr>
          <w:vertAlign w:val="subscript"/>
        </w:rPr>
        <w:t>2</w:t>
      </w:r>
      <w:r w:rsidRPr="004443A9">
        <w:t>O system are well established below the critical point of water (374 °C and 22.06 MPa), but far less is known under higher temperatures and pressures, or the effect of salt.</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lastRenderedPageBreak/>
        <w:t xml:space="preserve">Beaupré, S.R., Walker, B.D., Druffel, E.R.M., </w:t>
      </w:r>
      <w:r w:rsidR="00616347">
        <w:t xml:space="preserve">2020. </w:t>
      </w:r>
      <w:r w:rsidRPr="004443A9">
        <w:t>The two-component model coincidence: Evaluating the validity of marine dissolved organic radiocarbon as a stable-conservative tracer at Station M. Deep Sea Research Part II: Topical Studies in Oceanography 173, 104737.</w:t>
      </w:r>
    </w:p>
    <w:p w:rsidR="00DB42FE" w:rsidRPr="004443A9" w:rsidRDefault="00DB42FE" w:rsidP="00616347">
      <w:pPr>
        <w:pStyle w:val="EndNoteBibliography"/>
        <w:ind w:left="360"/>
      </w:pPr>
      <w:r w:rsidRPr="004443A9">
        <w:t>http://www.sciencedirect.com/science/article/pii/S0967064519302504</w:t>
      </w:r>
    </w:p>
    <w:p w:rsidR="00DB42FE" w:rsidRPr="004443A9" w:rsidRDefault="00DB42FE" w:rsidP="00616347">
      <w:pPr>
        <w:pStyle w:val="EndNoteBibliography"/>
        <w:spacing w:after="0"/>
        <w:ind w:left="360"/>
      </w:pPr>
      <w:r w:rsidRPr="004443A9">
        <w:t>This study examines the applicability of the two-component mixing model in one dimension (depth) to published depth profiles of DOC concentrations and Δ</w:t>
      </w:r>
      <w:r w:rsidRPr="004443A9">
        <w:rPr>
          <w:vertAlign w:val="superscript"/>
        </w:rPr>
        <w:t>14</w:t>
      </w:r>
      <w:r w:rsidRPr="004443A9">
        <w:t xml:space="preserve">C values from hydrographic Station M (34°50′N, 123°00′W). We have rederived the two-component model assuming DOC exhibits stable conservative tracer properties and compared it to a model that includes reactivity and radioactive decay. We used </w:t>
      </w:r>
      <w:r w:rsidRPr="004443A9">
        <w:rPr>
          <w:vertAlign w:val="superscript"/>
        </w:rPr>
        <w:t>14</w:t>
      </w:r>
      <w:r w:rsidRPr="004443A9">
        <w:t>C</w:t>
      </w:r>
      <w:r w:rsidRPr="004443A9">
        <w:rPr>
          <w:rFonts w:cs="Calibri"/>
          <w:vertAlign w:val="superscript"/>
        </w:rPr>
        <w:t>∗</w:t>
      </w:r>
      <w:r w:rsidRPr="004443A9">
        <w:t xml:space="preserve">, the fractionation- and decay-corrected concentration of </w:t>
      </w:r>
      <w:r w:rsidRPr="004443A9">
        <w:rPr>
          <w:vertAlign w:val="superscript"/>
        </w:rPr>
        <w:t>14</w:t>
      </w:r>
      <w:r w:rsidRPr="004443A9">
        <w:t>C atoms in DOC or DIC, as a new tool for evaluating the two-component model and carbon biogeochemistry at Station M. All relationships between DOC and other tracers predicted under this framework exhibited sharp discontinuities (“cusps”) at ~85–~250 m depth. Below the cusps, the best fit relationships to the depth profiles yielded negligible DOC reaction rates consistent with conservative mixing. These observations separate the water column into two distinct biogeochemical regimes, with the apparent dominance of production and consumption of more labile DOC constituents in the epipelagic, and physical mixing at depths below the cusp. Our results indicate DO</w:t>
      </w:r>
      <w:r w:rsidRPr="004443A9">
        <w:rPr>
          <w:vertAlign w:val="superscript"/>
        </w:rPr>
        <w:t>14</w:t>
      </w:r>
      <w:r w:rsidRPr="004443A9">
        <w:t>C</w:t>
      </w:r>
      <w:r w:rsidRPr="004443A9">
        <w:rPr>
          <w:rFonts w:cs="Calibri"/>
          <w:vertAlign w:val="superscript"/>
        </w:rPr>
        <w:t>∗</w:t>
      </w:r>
      <w:r w:rsidRPr="004443A9">
        <w:t xml:space="preserve"> vs. DI</w:t>
      </w:r>
      <w:r w:rsidRPr="004443A9">
        <w:rPr>
          <w:vertAlign w:val="superscript"/>
        </w:rPr>
        <w:t>14</w:t>
      </w:r>
      <w:r w:rsidRPr="004443A9">
        <w:t>C</w:t>
      </w:r>
      <w:r w:rsidRPr="004443A9">
        <w:rPr>
          <w:rFonts w:cs="Calibri"/>
          <w:vertAlign w:val="superscript"/>
        </w:rPr>
        <w:t>∗</w:t>
      </w:r>
      <w:r w:rsidRPr="004443A9">
        <w:t xml:space="preserve"> correlations are more precise tools than comparisons with </w:t>
      </w:r>
      <w:r w:rsidRPr="004443A9">
        <w:rPr>
          <w:rFonts w:cs="Calibri"/>
        </w:rPr>
        <w:t>Δ</w:t>
      </w:r>
      <w:r w:rsidRPr="004443A9">
        <w:rPr>
          <w:vertAlign w:val="superscript"/>
        </w:rPr>
        <w:t>14</w:t>
      </w:r>
      <w:r w:rsidRPr="004443A9">
        <w:t>C or salinity, for identifying regions with unique DOC biogeochemistry that are currently obscured by measurement uncertainties and natural variability in traditional two-component model analyses, such as Keeling Plots. Higher resolution observations are required to precisely locate the cusps and understand their relationship to the separation of more labile DOC in the surface from more conservative DOC at depth. These results do not refute the two-component model, but rather support it as a simplified approximation to the complex biogeochemical processes that vary throughout the water column. In this way, DOC concentrations and Δ</w:t>
      </w:r>
      <w:r w:rsidRPr="004443A9">
        <w:rPr>
          <w:vertAlign w:val="superscript"/>
        </w:rPr>
        <w:t>14</w:t>
      </w:r>
      <w:r w:rsidRPr="004443A9">
        <w:t>C values can be approximated as a semi-conservative tracer for select applications.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Becker, S., Tebben, J., Coffinet, S., Wiltshire, K., Iversen, M.H., Harder, T., Hinrichs, K.-U., Hehemann, J.-H., </w:t>
      </w:r>
      <w:r w:rsidR="00616347">
        <w:t xml:space="preserve">2020. </w:t>
      </w:r>
      <w:r w:rsidRPr="004443A9">
        <w:t>Laminarin is a major molecule in the marine carbon cycle. Proceedings of the National Academy of Sciences 117, 6599-6607.</w:t>
      </w:r>
    </w:p>
    <w:p w:rsidR="00DB42FE" w:rsidRPr="004443A9" w:rsidRDefault="00DB42FE" w:rsidP="00616347">
      <w:pPr>
        <w:pStyle w:val="EndNoteBibliography"/>
        <w:ind w:left="360"/>
      </w:pPr>
      <w:r w:rsidRPr="004443A9">
        <w:t>https://doi.org/10.1073/pnas.1917001117</w:t>
      </w:r>
    </w:p>
    <w:p w:rsidR="00DB42FE" w:rsidRPr="004443A9" w:rsidRDefault="00DB42FE" w:rsidP="00616347">
      <w:pPr>
        <w:pStyle w:val="EndNoteBibliography"/>
        <w:ind w:left="360"/>
      </w:pPr>
      <w:r w:rsidRPr="004443A9">
        <w:t>Significance: Microscopic planktonic algae are the base of the marine food web. Although sugars are the most abundant biomolecules in land plants, their concentrations in marine plants appear surprisingly low. We used recently discovered enzymes to dissect microalgae inhabiting the sunlit ocean and found that 26 ± 17% of their biomass consists of the sugar polymer laminarin. The concentration in algal cells increased markedly during the day, in analogy to the seasonal storage of energy in starchy roots and fruits of land plants. Vast quantities of laminarin discovered in the ocean underscore the importance of marine sugars in the global carbon cycle. This work has implications for our understanding of the elemental stoichiometry of microalgae, the most important oceanic food source.</w:t>
      </w:r>
    </w:p>
    <w:p w:rsidR="00DB42FE" w:rsidRPr="004443A9" w:rsidRDefault="00DB42FE" w:rsidP="00616347">
      <w:pPr>
        <w:pStyle w:val="EndNoteBibliography"/>
        <w:spacing w:after="0"/>
        <w:ind w:left="360"/>
      </w:pPr>
      <w:r w:rsidRPr="004443A9">
        <w:t>Abstract: Marine microalgae sequester as much CO</w:t>
      </w:r>
      <w:r w:rsidRPr="004443A9">
        <w:rPr>
          <w:vertAlign w:val="subscript"/>
        </w:rPr>
        <w:t>2</w:t>
      </w:r>
      <w:r w:rsidRPr="004443A9">
        <w:t xml:space="preserve"> into carbohydrates as terrestrial plants. Polymeric carbohydrates (i.e., glycans) provide carbon for heterotrophic organisms and constitute a carbon sink in the global oceans. The quantitative contributions of different algal glycans to cycling and sequestration of carbon remain unknown, partly because of the analytical challenge to quantify </w:t>
      </w:r>
      <w:r w:rsidRPr="004443A9">
        <w:lastRenderedPageBreak/>
        <w:t>glycans in complex biological matrices. Here, we quantified a glycan structural type using a recently developed biocatalytic strategy, which involves laminarinase enzymes that specifically cleave the algal glycan laminarin into readily analyzable fragments. We measured laminarin along transects in the Arctic, Atlantic, and Pacific oceans and during three time series in the North Sea. These data revealed a median of 26 ± 17% laminarin within the particulate organic carbon pool. The observed correlation between chlorophyll and laminarin suggests an annual production of algal laminarin of 12 ± 8 gigatons: that is, approximately three times the annual atmospheric carbon dioxide increase by fossil fuel burning. Moreover, our data revealed that laminarin accounted for up to 50% of organic carbon in sinking diatom-containing particles, thus substantially contributing to carbon export from surface waters. Spatially and temporally variable laminarin concentrations in the sunlit ocean are driven by light availability. Collectively, these observations highlight the prominent ecological role and biogeochemical function of laminarin in oceanic carbon export and energy flow to higher trophic levels.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Behrendt, L., Trampe, E.L., Nord, N.B., Nguyen, J., Kühl, M., Lonco, D., Nyarko, A., Dhinojwala, A., Hershey, O.S., Barton, H., </w:t>
      </w:r>
      <w:r w:rsidR="00616347">
        <w:t xml:space="preserve">2020. </w:t>
      </w:r>
      <w:r w:rsidRPr="004443A9">
        <w:t>Life in the dark: far-red absorbing cyanobacteria extend photic zones deep into terrestrial caves. Environmental Microbiology 22, 952-963.</w:t>
      </w:r>
    </w:p>
    <w:p w:rsidR="00DB42FE" w:rsidRPr="004443A9" w:rsidRDefault="00DB42FE" w:rsidP="00616347">
      <w:pPr>
        <w:pStyle w:val="EndNoteBibliography"/>
        <w:ind w:left="360"/>
      </w:pPr>
      <w:r w:rsidRPr="004443A9">
        <w:t>https://doi.org/10.1111/1462-2920.14774</w:t>
      </w:r>
    </w:p>
    <w:p w:rsidR="00DB42FE" w:rsidRPr="004443A9" w:rsidRDefault="00DB42FE" w:rsidP="00616347">
      <w:pPr>
        <w:pStyle w:val="EndNoteBibliography"/>
        <w:spacing w:after="0"/>
        <w:ind w:left="360"/>
      </w:pPr>
      <w:r w:rsidRPr="004443A9">
        <w:t xml:space="preserve">Chlorophyll (Chl) </w:t>
      </w:r>
      <w:r w:rsidRPr="004443A9">
        <w:rPr>
          <w:i/>
        </w:rPr>
        <w:t>f</w:t>
      </w:r>
      <w:r w:rsidRPr="004443A9">
        <w:t xml:space="preserve"> and </w:t>
      </w:r>
      <w:r w:rsidRPr="004443A9">
        <w:rPr>
          <w:i/>
        </w:rPr>
        <w:t>d</w:t>
      </w:r>
      <w:r w:rsidRPr="004443A9">
        <w:t xml:space="preserve"> are the most recently discovered chlorophylls, enabling cyanobacteria to harvest near‐infrared radiation (NIR) at 700–780 nm for oxygenic photosynthesis. Little is known about the occurrence of these pigments in terrestrial habitats. Here, we provide first details on spectral photon irradiance within the photic zones of four terrestrial cave systems in concert with a detailed investigation of photopigmentation, light reflectance and microbial community composition. We frequently found Chl </w:t>
      </w:r>
      <w:r w:rsidRPr="004443A9">
        <w:rPr>
          <w:i/>
        </w:rPr>
        <w:t>f</w:t>
      </w:r>
      <w:r w:rsidRPr="004443A9">
        <w:t xml:space="preserve"> and </w:t>
      </w:r>
      <w:r w:rsidRPr="004443A9">
        <w:rPr>
          <w:i/>
        </w:rPr>
        <w:t>d</w:t>
      </w:r>
      <w:r w:rsidRPr="004443A9">
        <w:t xml:space="preserve"> along the photic zones of caves characterized by low light enriched in NIR and inhabited by cyanobacteria producing NIR‐absorbing pigments. Surprisingly, deeper parts of caves still contained NIR, an effect likely attributable to the reflectance of specific wavelengths by the surface materials of cave walls. We argue that the stratification of microbial communities across the photic zones of cave entrances resembles the light‐driven species distributions in forests and aquatic environments.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Bei, K., Xu, T., Shang, S., Wei, Z., Li, J., Cao, Y., Tian, H., </w:t>
      </w:r>
      <w:r w:rsidR="00616347">
        <w:t xml:space="preserve">2020. </w:t>
      </w:r>
      <w:r w:rsidRPr="004443A9">
        <w:t>Numerical study on biogeochemical processes induced by methane leakage and its application in estimating the time of cold seeps formation. Deep Sea Research Part I: Oceanographic Research Papers 157, 103206.</w:t>
      </w:r>
    </w:p>
    <w:p w:rsidR="00DB42FE" w:rsidRPr="004443A9" w:rsidRDefault="00DB42FE" w:rsidP="00616347">
      <w:pPr>
        <w:pStyle w:val="EndNoteBibliography"/>
        <w:ind w:left="360"/>
      </w:pPr>
      <w:r w:rsidRPr="004443A9">
        <w:t>http://www.sciencedirect.com/science/article/pii/S0967063719303528</w:t>
      </w:r>
    </w:p>
    <w:p w:rsidR="00DB42FE" w:rsidRPr="004443A9" w:rsidRDefault="00DB42FE" w:rsidP="00616347">
      <w:pPr>
        <w:pStyle w:val="EndNoteBibliography"/>
        <w:spacing w:after="0"/>
        <w:ind w:left="360"/>
      </w:pPr>
      <w:r w:rsidRPr="004443A9">
        <w:t>In shallow marine sediments, cold seeps of methane fluid is a widely observed phenomenon, which will lead to a series of biogeochemical reactions. These processes will change the pore water environment and trigger the formation of authigenic minerals. In this study, based on the data from the site GC10 in the NE South China Sea, numerical simulation studies were conducted to investigate the relative biogeochemical processes induced by methane leakage. The results of simulations show that anaerobic methane oxidation is the dominant sulfate consuming process in methane leakage environment, and the typical sulfate-methane interface is indicative of methane leakage. The pore water chemistry conditions are closely related to methane flux. Methane flux was calibrated from GC10 site data, when methane leaks upwards at flux of 2.42 × 10</w:t>
      </w:r>
      <w:r w:rsidRPr="004443A9">
        <w:rPr>
          <w:vertAlign w:val="superscript"/>
        </w:rPr>
        <w:t>−3</w:t>
      </w:r>
      <w:r w:rsidRPr="004443A9">
        <w:t xml:space="preserve"> mmol cm</w:t>
      </w:r>
      <w:r w:rsidRPr="004443A9">
        <w:rPr>
          <w:vertAlign w:val="superscript"/>
        </w:rPr>
        <w:t>−2</w:t>
      </w:r>
      <w:r w:rsidRPr="004443A9">
        <w:t xml:space="preserve"> a</w:t>
      </w:r>
      <w:r w:rsidRPr="004443A9">
        <w:rPr>
          <w:vertAlign w:val="superscript"/>
        </w:rPr>
        <w:t>−1</w:t>
      </w:r>
      <w:r w:rsidRPr="004443A9">
        <w:t xml:space="preserve">, the simulation </w:t>
      </w:r>
      <w:r w:rsidRPr="004443A9">
        <w:lastRenderedPageBreak/>
        <w:t>results fit well with measured data. Some kinetic parameters of related reaction were calibrated during the fitting process. The microbially-mediated reactions in methane leakage environment trigger the precipitation of authigenic minerals, such as calcite and pyrite, which can sometimes be used as indicators of the occurrence of hydrate reservoirs. Through simulating the change of sulfate concentrations along the vertical column, the model was also used to estimate duration of active cold seeps at the study site. The results showed that the methane leakage in GC10 has been going on at least 5600 years. This study provided a new method to the study of cold seeps activities, and was significant for future investigations on the biogeochemical processes above the hydrate reservoirs.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Belila, A.M.P., Basso, M., Chinelatto, G.F., Kuroda, M.C., Vidal, A.C., </w:t>
      </w:r>
      <w:r w:rsidR="00616347">
        <w:t xml:space="preserve">2020. </w:t>
      </w:r>
      <w:r w:rsidRPr="004443A9">
        <w:t>Pore typing using nuclear magnetic resonance, an example with samples from Cretaceous pre-salt lacustrine carbonates in the Santos Basin, Brazil. Journal of Petroleum Science and Engineering 190, 107079.</w:t>
      </w:r>
    </w:p>
    <w:p w:rsidR="00DB42FE" w:rsidRPr="004443A9" w:rsidRDefault="00DB42FE" w:rsidP="00616347">
      <w:pPr>
        <w:pStyle w:val="EndNoteBibliography"/>
        <w:ind w:left="360"/>
      </w:pPr>
      <w:r w:rsidRPr="004443A9">
        <w:t>http://www.sciencedirect.com/science/article/pii/S0920410520301728</w:t>
      </w:r>
    </w:p>
    <w:p w:rsidR="00DB42FE" w:rsidRPr="004443A9" w:rsidRDefault="00DB42FE" w:rsidP="00616347">
      <w:pPr>
        <w:pStyle w:val="EndNoteBibliography"/>
        <w:spacing w:after="0"/>
        <w:ind w:left="360"/>
      </w:pPr>
      <w:r w:rsidRPr="004443A9">
        <w:t>The Brazilian sub-salt play carbonate reservoirs present highly complex and heterogeneous pore systems, making it difficult to define their petrophysical properties, which is essential for the reservoir characterization. Nuclear magnetic resonance (NMR) has emerged as an effective tool in the petrophysical characterization of carbonates, both on the core and log scales. This work uses plug samples from the Barra Velha Formation in the Santos Basin, SE Brazil, which is characterized by unconventional lacustrine carbonate deposits dominated by shrub-like forms and spherulitic allochems. The porosity types were defined based on NMR laboratory analysis associated with petrographic descriptions and high-resolution X-ray computed tomography. From the NMR results it is possible to define irreducible water saturation and calculate porosity and permeability for each sample. The results obtained through the resonance technique showed high correlation with the porosity and permeability values obtained by gas injection. Additionally, the interpretation of the data enabled the division of samples into porous and tight categories and the definition of groups with characteristics of tight, good and excellent reservoirs. The interpreted data contributes to a better understanding of the petrophysical properties of these complex and heterogeneous samples.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Bellanova, P., Frenken, M., Richmond, B., Schwarzbauer, J., La Selle, S., Griswold, F., Jaffe, B., Nelson, A., Reicherter, K., </w:t>
      </w:r>
      <w:r w:rsidR="00616347">
        <w:t xml:space="preserve">2020. </w:t>
      </w:r>
      <w:r w:rsidRPr="004443A9">
        <w:t>Organic geochemical investigation of far-field tsunami deposits of the Kahana Valley, O‘ahu, Hawai‘i. Sedimentology 67, 1230-1248.</w:t>
      </w:r>
    </w:p>
    <w:p w:rsidR="00DB42FE" w:rsidRPr="004443A9" w:rsidRDefault="00DB42FE" w:rsidP="00616347">
      <w:pPr>
        <w:pStyle w:val="EndNoteBibliography"/>
        <w:ind w:left="360"/>
      </w:pPr>
      <w:r w:rsidRPr="004443A9">
        <w:t>https://doi.org/10.1111/sed.12583</w:t>
      </w:r>
    </w:p>
    <w:p w:rsidR="00DB42FE" w:rsidRPr="004443A9" w:rsidRDefault="00DB42FE" w:rsidP="00616347">
      <w:pPr>
        <w:pStyle w:val="EndNoteBibliography"/>
        <w:spacing w:after="0"/>
        <w:ind w:left="360"/>
      </w:pPr>
      <w:r w:rsidRPr="004443A9">
        <w:t xml:space="preserve">Far‐field tsunami deposits observed in the Kahana Valley, O‘ahu, Hawai‘i (USA), were investigated for their organic‐geochemical content. During short high‐energy events, (tsunamis and storms) organic and chemical components are transported with sediment from marine to terrestrial areas. This study investigates the use of anthropogenic based organic geochemical compounds (such as polycyclic aromatic hydrocarbons, pesticides and organochlorides) as a means to identify tsunami deposits. Samples were processed by solid–liquid extraction and analyzed using gas chromatography–mass spectrometry. A total of 21 anthropogenic marker compounds were identified, of which 11 compounds were selected for detailed analysis. Although the tsunami deposits pre‐date industrial activity in Hawai‘i by several hundred years, distinct changes were found in the concentrations of anthropogenic marker compounds between sandy tsunami deposits </w:t>
      </w:r>
      <w:r w:rsidRPr="004443A9">
        <w:lastRenderedPageBreak/>
        <w:t>and the surrounding mud/peat layers, which may help in identifying tsunami deposits within cores. As expected, low overall concentrations of anthropogenic markers and pollutants were observed due to the lack of industrial input‐sources and little anthropogenic environmental impact at the study site. This geochemical characterization of tsunami deposits shows that anthropogenic markers have significant potential as another high‐resolution, multi‐proxy method for identifying tsunamis in the sedimentary record.</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Bemani, A., Baghban, A., Mohammadi, A.H., Andersen, P.Ø., </w:t>
      </w:r>
      <w:r w:rsidR="00616347">
        <w:t xml:space="preserve">2020. </w:t>
      </w:r>
      <w:r w:rsidRPr="004443A9">
        <w:t>Estimation of adsorption capacity of CO</w:t>
      </w:r>
      <w:r w:rsidRPr="004443A9">
        <w:rPr>
          <w:vertAlign w:val="subscript"/>
        </w:rPr>
        <w:t>2</w:t>
      </w:r>
      <w:r w:rsidRPr="004443A9">
        <w:t>, CH</w:t>
      </w:r>
      <w:r w:rsidRPr="004443A9">
        <w:rPr>
          <w:vertAlign w:val="subscript"/>
        </w:rPr>
        <w:t>4</w:t>
      </w:r>
      <w:r w:rsidRPr="004443A9">
        <w:t>, and their binary mixtures in Quidam shale using LSSVM: Application in CO</w:t>
      </w:r>
      <w:r w:rsidRPr="004443A9">
        <w:rPr>
          <w:vertAlign w:val="subscript"/>
        </w:rPr>
        <w:t>2</w:t>
      </w:r>
      <w:r w:rsidRPr="004443A9">
        <w:t xml:space="preserve"> enhanced shale gas recovery and CO</w:t>
      </w:r>
      <w:r w:rsidRPr="004443A9">
        <w:rPr>
          <w:vertAlign w:val="subscript"/>
        </w:rPr>
        <w:t>2</w:t>
      </w:r>
      <w:r w:rsidRPr="004443A9">
        <w:t xml:space="preserve"> storage. Journal of Natural Gas Science and Engineering 76, 103204.</w:t>
      </w:r>
    </w:p>
    <w:p w:rsidR="00DB42FE" w:rsidRPr="004443A9" w:rsidRDefault="00DB42FE" w:rsidP="00616347">
      <w:pPr>
        <w:pStyle w:val="EndNoteBibliography"/>
        <w:ind w:left="360"/>
      </w:pPr>
      <w:r w:rsidRPr="004443A9">
        <w:t>http://www.sciencedirect.com/science/article/pii/S1875510020300585</w:t>
      </w:r>
    </w:p>
    <w:p w:rsidR="00DB42FE" w:rsidRPr="004443A9" w:rsidRDefault="00DB42FE" w:rsidP="00616347">
      <w:pPr>
        <w:pStyle w:val="EndNoteBibliography"/>
        <w:spacing w:after="0"/>
        <w:ind w:left="360"/>
      </w:pPr>
      <w:r w:rsidRPr="004443A9">
        <w:t>Carbon dioxide enhanced shale gas recovery depends strongly on adsorption properties of carbon dioxide and methane. In this work, Least Squares Support Vector Machine (LSSVM) optimized by Particle Swarm Optimization, has been proposed to learn and then predict adsorption capacity of methane and carbon dioxide from pure and binary gas mixtures in Jurassic shale samples from the Qaidam Basin in China based on input parameters pressure, temperature, gas composition and TOC. A literature dataset of 348 points was applied to train and validate the model. The predicted values were compared with the experimental data by statistical and graphical approaches. The coefficients of determination of carbon dioxide adsorption were calculated to 0.9990 and 0.9982 for training and validation datasets, respectively. For CH4 the numbers are 0.9980 and 0.9966. The model was extrapolating reasonable trends beyond measurement ranges. More extensive datasets are needed to properly parameterize the role of shale properties.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Berawala, D.S., Andersen, P.Ø., </w:t>
      </w:r>
      <w:r w:rsidR="00616347">
        <w:t xml:space="preserve">2020. </w:t>
      </w:r>
      <w:r w:rsidRPr="004443A9">
        <w:t>Numerical investigation of Non-Darcy flow regime transitions in shale gas production. Journal of Petroleum Science and Engineering 190, 107114.</w:t>
      </w:r>
    </w:p>
    <w:p w:rsidR="00DB42FE" w:rsidRPr="004443A9" w:rsidRDefault="00DB42FE" w:rsidP="00616347">
      <w:pPr>
        <w:pStyle w:val="EndNoteBibliography"/>
        <w:ind w:left="360"/>
      </w:pPr>
      <w:r w:rsidRPr="004443A9">
        <w:t>http://www.sciencedirect.com/science/article/pii/S0920410520302047</w:t>
      </w:r>
    </w:p>
    <w:p w:rsidR="00DB42FE" w:rsidRPr="004443A9" w:rsidRDefault="00DB42FE" w:rsidP="00616347">
      <w:pPr>
        <w:pStyle w:val="EndNoteBibliography"/>
        <w:ind w:left="360"/>
      </w:pPr>
      <w:r w:rsidRPr="004443A9">
        <w:t>Shale gas reservoirs are organic rich formations with often ultra-low permeability. Gas is stored in free and adsorbed form. Conventional Darcy flow cannot fully describe the gas transport in such porous media. It is thus crucial to study the shale gas production considering different flow regimes and time dependent permeability, which can improve well-induced fracture design and ultimate gas recovery. In particular, this paper will focus on the transition in non-Darcy flow regimes near fracture-matrix interfaces using mathematical modelling. Especially, we investigate conditions at which these effects vanish, and Darcy flow assumptions become reasonable.</w:t>
      </w:r>
    </w:p>
    <w:p w:rsidR="00DB42FE" w:rsidRPr="004443A9" w:rsidRDefault="00DB42FE" w:rsidP="00616347">
      <w:pPr>
        <w:pStyle w:val="EndNoteBibliography"/>
        <w:ind w:left="360"/>
      </w:pPr>
      <w:r w:rsidRPr="004443A9">
        <w:t>The model describes a representative well-induced high permeability fracture surrounded by shale matrix. Investigated Non-Darcy mechanisms include apparent permeability, Knudsen diffusion, gas desorption and Forchheimer flow. Pressure depletion is the main driving force for single phase gas flow from the matrix to the fracture and from the fracture to the well. Pressure dependent gas desorption is defined by Langmuir isotherm and is a key production mechanism. This model is implemented in Matlab using Marcellus shale data.</w:t>
      </w:r>
    </w:p>
    <w:p w:rsidR="00DB42FE" w:rsidRPr="004443A9" w:rsidRDefault="00DB42FE" w:rsidP="00616347">
      <w:pPr>
        <w:pStyle w:val="EndNoteBibliography"/>
        <w:ind w:left="360"/>
      </w:pPr>
      <w:r w:rsidRPr="004443A9">
        <w:t xml:space="preserve">Scaling the model shows that recovery of gas depends on two dimensionless number that incorporates geometry relations, time scales of flow, intrinsic parameters of the porous media, non-Darcy constants, adsorption and boundary conditions. The dimensionless numbers define </w:t>
      </w:r>
      <w:r w:rsidRPr="004443A9">
        <w:lastRenderedPageBreak/>
        <w:t>respectively if 1) the fracture or matrix limit the gas production rate 2) if non-Darcy flow is significant in the fracture or matrix. When one of the media limit production, the non-Darcy flow in the other medium has reduced importance and can be excluded from the model. Non-Darcy flow is important if it limits flow in the medium limiting the production. By checking the magnitude of the selected dimensionless numbers, the modelling approach can be determined in advance and significant computational time can be saved.</w:t>
      </w:r>
    </w:p>
    <w:p w:rsidR="00DB42FE" w:rsidRPr="004443A9" w:rsidRDefault="00DB42FE" w:rsidP="00616347">
      <w:pPr>
        <w:pStyle w:val="EndNoteBibliography"/>
        <w:spacing w:after="0"/>
        <w:ind w:left="360"/>
      </w:pPr>
      <w:r w:rsidRPr="004443A9">
        <w:t>The proposed model provides a tool for interpretation of complex shale gas production systems. It can be used for screening of flow regimes at different operational configurations and hence appropriate modelling approaches. The model can be used to optimise fracture network design and potentially in identifying stimulation operations that may significantly improve production rates and ultimate recovery from unconventional gas reservoirs.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Bermingham, K.R., </w:t>
      </w:r>
      <w:r w:rsidR="00616347">
        <w:t xml:space="preserve">2020. </w:t>
      </w:r>
      <w:r w:rsidRPr="004443A9">
        <w:t>Ancient rock bears isotopic fingerprints of Earth’s origins. Nature 579, 195-196.</w:t>
      </w:r>
    </w:p>
    <w:p w:rsidR="00DB42FE" w:rsidRPr="004443A9" w:rsidRDefault="00DB42FE" w:rsidP="00616347">
      <w:pPr>
        <w:pStyle w:val="EndNoteBibliography"/>
        <w:ind w:left="360"/>
      </w:pPr>
      <w:r w:rsidRPr="004443A9">
        <w:t>https://www.nature.com/articles/d41586-020-00605-4</w:t>
      </w:r>
    </w:p>
    <w:p w:rsidR="00DB42FE" w:rsidRPr="004443A9" w:rsidRDefault="00DB42FE" w:rsidP="00616347">
      <w:pPr>
        <w:pStyle w:val="EndNoteBibliography"/>
        <w:ind w:left="360"/>
      </w:pPr>
      <w:r w:rsidRPr="004443A9">
        <w:t xml:space="preserve">Earth formed from an unknown selection of meteoritic material. Writing in </w:t>
      </w:r>
      <w:r w:rsidRPr="004443A9">
        <w:rPr>
          <w:i/>
        </w:rPr>
        <w:t>Nature</w:t>
      </w:r>
      <w:r w:rsidRPr="004443A9">
        <w:t xml:space="preserve">, Fischer-Gödde </w:t>
      </w:r>
      <w:r w:rsidRPr="004443A9">
        <w:rPr>
          <w:i/>
        </w:rPr>
        <w:t>et al.</w:t>
      </w:r>
      <w:r w:rsidRPr="004443A9">
        <w:rPr>
          <w:u w:val="single"/>
          <w:vertAlign w:val="superscript"/>
        </w:rPr>
        <w:t>1</w:t>
      </w:r>
      <w:r w:rsidRPr="004443A9">
        <w:t xml:space="preserve"> report that the composition of ruthenium isotopes in ancient rocks from southwest Greenland contains evidence of a previously unrecognized building block of Earth. Surprisingly, the inferred isotopic composition of ruthenium in the material does not match known meteorite compositions. The authors’ findings suggest that Earth’s volatile components, such as water and organic compounds, could have arrived during the final stages of the planet’s growth.</w:t>
      </w:r>
    </w:p>
    <w:p w:rsidR="00DB42FE" w:rsidRPr="004443A9" w:rsidRDefault="00DB42FE" w:rsidP="00616347">
      <w:pPr>
        <w:pStyle w:val="EndNoteBibliography"/>
        <w:ind w:left="360"/>
      </w:pPr>
      <w:r w:rsidRPr="004443A9">
        <w:t>Our planet is the product of a series of collisions of increasingly large celestial bodies</w:t>
      </w:r>
      <w:r w:rsidRPr="004443A9">
        <w:rPr>
          <w:u w:val="single"/>
          <w:vertAlign w:val="superscript"/>
        </w:rPr>
        <w:t>2</w:t>
      </w:r>
      <w:r w:rsidRPr="004443A9">
        <w:rPr>
          <w:vertAlign w:val="superscript"/>
        </w:rPr>
        <w:t>–</w:t>
      </w:r>
      <w:r w:rsidRPr="004443A9">
        <w:rPr>
          <w:u w:val="single"/>
          <w:vertAlign w:val="superscript"/>
        </w:rPr>
        <w:t>4</w:t>
      </w:r>
      <w:r w:rsidRPr="004443A9">
        <w:t>. These building blocks accreted from a protoplanetary disk of dust and gas that orbited the proto-Sun about 4.6 billion years ago. Identifying the compositions of Earth’s building blocks is difficult because of our limited access to the disk’s remnants, and because of the complex, long-term geological processing of the mantle that has mixed Earth’s ancient ingredients.</w:t>
      </w:r>
    </w:p>
    <w:p w:rsidR="00DB42FE" w:rsidRPr="004443A9" w:rsidRDefault="00DB42FE" w:rsidP="00616347">
      <w:pPr>
        <w:pStyle w:val="EndNoteBibliography"/>
        <w:ind w:left="360"/>
      </w:pPr>
      <w:r w:rsidRPr="004443A9">
        <w:t>Potential answers to the question of what Earth is made of can come from studies in which the isotopic compositions of terrestrial rock samples are compared with those of meteorites that formed within the first few million years of the Solar System’s history. These meteorites are presumed to be representative of the smaller bodies that ultimately coalesced to form the rocky planets. Consequently, meteorites are our most promising candidates for Earth’s building blocks.</w:t>
      </w:r>
    </w:p>
    <w:p w:rsidR="00DB42FE" w:rsidRPr="004443A9" w:rsidRDefault="00DB42FE" w:rsidP="00616347">
      <w:pPr>
        <w:pStyle w:val="EndNoteBibliography"/>
        <w:ind w:left="360"/>
      </w:pPr>
      <w:r w:rsidRPr="004443A9">
        <w:t>Fischer-Gödde and colleagues’ study builds on the finding that meteorites have characteristic isotope compositions that serve as fingerprints to distinguish different types of potential building block. For example, meteorites such as carbonaceous chondrites, which are often ‘wet’ (that is, they contain volatile components), have different isotopic fingerprints from meteorites that are generally ‘dry’</w:t>
      </w:r>
      <w:r w:rsidRPr="004443A9">
        <w:rPr>
          <w:u w:val="single"/>
          <w:vertAlign w:val="superscript"/>
        </w:rPr>
        <w:t>5</w:t>
      </w:r>
      <w:r w:rsidRPr="004443A9">
        <w:t>. The differences in isotopic composition originate from the heterogeneous distribution of stardust in the protoplanetary disk, and are known as nucleosynthetic isotope variations. If the fingerprints could be identified in terrestrial rock samples, this might provide evidence of the material from meteorites that Earth was built from.</w:t>
      </w:r>
    </w:p>
    <w:p w:rsidR="00DB42FE" w:rsidRPr="004443A9" w:rsidRDefault="00DB42FE" w:rsidP="00616347">
      <w:pPr>
        <w:pStyle w:val="EndNoteBibliography"/>
        <w:ind w:left="360"/>
      </w:pPr>
      <w:r w:rsidRPr="004443A9">
        <w:t>The documentation of fingerprints in terrestrial rocks could help to constrain estimates of when volatile elements were delivered to Earth and where they came from. This is because the abundances of certain isotopes of some elements — ruthenium-100 (</w:t>
      </w:r>
      <w:r w:rsidRPr="004443A9">
        <w:rPr>
          <w:vertAlign w:val="superscript"/>
        </w:rPr>
        <w:t>100</w:t>
      </w:r>
      <w:r w:rsidRPr="004443A9">
        <w:t xml:space="preserve">Ru), for example — not only </w:t>
      </w:r>
      <w:r w:rsidRPr="004443A9">
        <w:lastRenderedPageBreak/>
        <w:t>distinguish between wet and dry building blocks, but also trace different stages of Earth’s accretion history.</w:t>
      </w:r>
    </w:p>
    <w:p w:rsidR="00DB42FE" w:rsidRPr="004443A9" w:rsidRDefault="00DB42FE" w:rsidP="00616347">
      <w:pPr>
        <w:pStyle w:val="EndNoteBibliography"/>
        <w:ind w:left="360"/>
      </w:pPr>
      <w:r w:rsidRPr="004443A9">
        <w:t>Ruthenium is classified as a highly siderophile (iron-loving) element, because it collects in metal-rich phases of Earth’s interior. Consequently, most of our planet’s ruthenium is concentrated in its metallic core. There are, however, traces of ruthenium and other highly siderophile elements (HSEs) in the mantle, and their relative proportions approximate to those measured in primitive meteorites</w:t>
      </w:r>
      <w:r w:rsidRPr="004443A9">
        <w:rPr>
          <w:u w:val="single"/>
          <w:vertAlign w:val="superscript"/>
        </w:rPr>
        <w:t>6</w:t>
      </w:r>
      <w:r w:rsidRPr="004443A9">
        <w:t>. One interpretation of this is that the HSEs were added to the mantle after the core formed, during an event called the late veneer — when the final approximately 0.5% (of the total percentage weight) of Earth’s mass accreted</w:t>
      </w:r>
      <w:r w:rsidRPr="004443A9">
        <w:rPr>
          <w:u w:val="single"/>
          <w:vertAlign w:val="superscript"/>
        </w:rPr>
        <w:t>7</w:t>
      </w:r>
      <w:r w:rsidRPr="004443A9">
        <w:rPr>
          <w:vertAlign w:val="superscript"/>
        </w:rPr>
        <w:t>,</w:t>
      </w:r>
      <w:r w:rsidRPr="004443A9">
        <w:rPr>
          <w:u w:val="single"/>
          <w:vertAlign w:val="superscript"/>
        </w:rPr>
        <w:t>8</w:t>
      </w:r>
      <w:r w:rsidRPr="004443A9">
        <w:t>. If so, then ruthenium and other HSEs in the mantle record the composition of the last material that accreted to Earth</w:t>
      </w:r>
      <w:r w:rsidRPr="004443A9">
        <w:rPr>
          <w:u w:val="single"/>
          <w:vertAlign w:val="superscript"/>
        </w:rPr>
        <w:t>9</w:t>
      </w:r>
      <w:r w:rsidRPr="004443A9">
        <w:t>.</w:t>
      </w:r>
    </w:p>
    <w:p w:rsidR="00DB42FE" w:rsidRPr="004443A9" w:rsidRDefault="00DB42FE" w:rsidP="00616347">
      <w:pPr>
        <w:pStyle w:val="EndNoteBibliography"/>
        <w:ind w:left="360"/>
      </w:pPr>
      <w:r w:rsidRPr="004443A9">
        <w:t>It has been proposed that Earth’s volatile elements were also added during the late veneer, possibly by the accretion of carbonaceous chondrites</w:t>
      </w:r>
      <w:r w:rsidRPr="004443A9">
        <w:rPr>
          <w:u w:val="single"/>
          <w:vertAlign w:val="superscript"/>
        </w:rPr>
        <w:t>10</w:t>
      </w:r>
      <w:r w:rsidRPr="004443A9">
        <w:rPr>
          <w:vertAlign w:val="superscript"/>
        </w:rPr>
        <w:t>,</w:t>
      </w:r>
      <w:r w:rsidRPr="004443A9">
        <w:rPr>
          <w:u w:val="single"/>
          <w:vertAlign w:val="superscript"/>
        </w:rPr>
        <w:t>11</w:t>
      </w:r>
      <w:r w:rsidRPr="004443A9">
        <w:t xml:space="preserve">. Studies in the past few years, however, have found a mismatch between the </w:t>
      </w:r>
      <w:r w:rsidRPr="004443A9">
        <w:rPr>
          <w:vertAlign w:val="superscript"/>
        </w:rPr>
        <w:t>100</w:t>
      </w:r>
      <w:r w:rsidRPr="004443A9">
        <w:t xml:space="preserve">Ru-isotope composition (the abundances of </w:t>
      </w:r>
      <w:r w:rsidRPr="004443A9">
        <w:rPr>
          <w:vertAlign w:val="superscript"/>
        </w:rPr>
        <w:t>100</w:t>
      </w:r>
      <w:r w:rsidRPr="004443A9">
        <w:t>Ru in terrestrial rocks) in Earth’s mantle and that in carbonaceous chondrites</w:t>
      </w:r>
      <w:r w:rsidRPr="004443A9">
        <w:rPr>
          <w:u w:val="single"/>
          <w:vertAlign w:val="superscript"/>
        </w:rPr>
        <w:t>12</w:t>
      </w:r>
      <w:r w:rsidRPr="004443A9">
        <w:rPr>
          <w:vertAlign w:val="superscript"/>
        </w:rPr>
        <w:t>,</w:t>
      </w:r>
      <w:r w:rsidRPr="004443A9">
        <w:rPr>
          <w:u w:val="single"/>
          <w:vertAlign w:val="superscript"/>
        </w:rPr>
        <w:t>13</w:t>
      </w:r>
      <w:r w:rsidRPr="004443A9">
        <w:t>. It could therefore be concluded that carbonaceous chondrites did not form part of the late veneer, thus casting doubt on the timing of the delivery of volatiles to Earth</w:t>
      </w:r>
      <w:r w:rsidRPr="004443A9">
        <w:rPr>
          <w:u w:val="single"/>
          <w:vertAlign w:val="superscript"/>
        </w:rPr>
        <w:t>13</w:t>
      </w:r>
      <w:r w:rsidRPr="004443A9">
        <w:t>.</w:t>
      </w:r>
    </w:p>
    <w:p w:rsidR="00DB42FE" w:rsidRPr="004443A9" w:rsidRDefault="00DB42FE" w:rsidP="00616347">
      <w:pPr>
        <w:pStyle w:val="EndNoteBibliography"/>
        <w:ind w:left="360"/>
      </w:pPr>
      <w:r w:rsidRPr="004443A9">
        <w:t xml:space="preserve">This conclusion rests on the assumption that HSEs in the mantle do not contain significant quantities of material from before the late veneer — a reasonable assertion, given that there is limited direct evidence of this. If the pre-late-veneer mantle did contain a substantial amount of </w:t>
      </w:r>
      <w:r w:rsidRPr="004443A9">
        <w:rPr>
          <w:vertAlign w:val="superscript"/>
        </w:rPr>
        <w:t>100</w:t>
      </w:r>
      <w:r w:rsidRPr="004443A9">
        <w:t xml:space="preserve">Ru that did not collect in the core, and that was identifiable by having a different </w:t>
      </w:r>
      <w:r w:rsidRPr="004443A9">
        <w:rPr>
          <w:vertAlign w:val="superscript"/>
        </w:rPr>
        <w:t>100</w:t>
      </w:r>
      <w:r w:rsidRPr="004443A9">
        <w:t>Ru-isotope composition from that of the modern mantle, then carbonaceous chondrites could still have been accreted during the late veneer.</w:t>
      </w:r>
    </w:p>
    <w:p w:rsidR="00DB42FE" w:rsidRPr="004443A9" w:rsidRDefault="00DB42FE" w:rsidP="00616347">
      <w:pPr>
        <w:pStyle w:val="EndNoteBibliography"/>
        <w:ind w:left="360"/>
      </w:pPr>
      <w:r w:rsidRPr="004443A9">
        <w:t>Nucleosynthetic ruthenium-isotope variations have not been reported for terrestrial rocks before now. This is, in part, because Earth has active plate tectonics and mantle convection, which mix and dilute the fingerprints of its building blocks. However, in the past few years, analytical methods</w:t>
      </w:r>
      <w:r w:rsidRPr="004443A9">
        <w:rPr>
          <w:u w:val="single"/>
          <w:vertAlign w:val="superscript"/>
        </w:rPr>
        <w:t>14</w:t>
      </w:r>
      <w:r w:rsidRPr="004443A9">
        <w:t xml:space="preserve"> have been further developed that enable isotope variations to be measured on the scale of parts per million, making it possible to search for these primitive isotopic signatures.</w:t>
      </w:r>
    </w:p>
    <w:p w:rsidR="00DB42FE" w:rsidRPr="004443A9" w:rsidRDefault="00DB42FE" w:rsidP="00616347">
      <w:pPr>
        <w:pStyle w:val="EndNoteBibliography"/>
        <w:ind w:left="360"/>
      </w:pPr>
      <w:r w:rsidRPr="004443A9">
        <w:t xml:space="preserve">By comparing the </w:t>
      </w:r>
      <w:r w:rsidRPr="004443A9">
        <w:rPr>
          <w:vertAlign w:val="superscript"/>
        </w:rPr>
        <w:t>100</w:t>
      </w:r>
      <w:r w:rsidRPr="004443A9">
        <w:t>Ru-isotope compositions of terrestrial rocks with those of meteorites, Fischer-Gödde and co-workers report that an ancient part of Earth, preserved in rocks from southwest Greenland, retains the fingerprints of an unusual building block (Fig. 1). The fact that the inferred isotope compositions do not match known meteorite compositions indicates that current meteorite collections are considerably limited in their sampling of the protoplanetary disk.</w:t>
      </w:r>
    </w:p>
    <w:p w:rsidR="00DB42FE" w:rsidRPr="004443A9" w:rsidRDefault="00DB42FE" w:rsidP="00616347">
      <w:pPr>
        <w:pStyle w:val="EndNoteBibliography"/>
        <w:ind w:left="360"/>
      </w:pPr>
      <w:r w:rsidRPr="004443A9">
        <w:t xml:space="preserve">The authors interpret their unusual </w:t>
      </w:r>
      <w:r w:rsidRPr="004443A9">
        <w:rPr>
          <w:vertAlign w:val="superscript"/>
        </w:rPr>
        <w:t>100</w:t>
      </w:r>
      <w:r w:rsidRPr="004443A9">
        <w:t>Ru data as the isotopic signature of pre-late-veneer ruthenium in the source of these rocks. Considering their findings in the context of the compositions of other HSEs in the mantle, the authors suggest that the modern composition of the mantle can be reconciled with their new data only if the late veneer contained carbonaceous chondrites to counterbalance the composition of the pre-late-veneer component of the mantle. This would mean that volatiles could have been delivered to Earth during the final stages of the planet’s formation.</w:t>
      </w:r>
    </w:p>
    <w:p w:rsidR="00DB42FE" w:rsidRPr="004443A9" w:rsidRDefault="00DB42FE" w:rsidP="00616347">
      <w:pPr>
        <w:pStyle w:val="EndNoteBibliography"/>
        <w:ind w:left="360"/>
      </w:pPr>
      <w:r w:rsidRPr="004443A9">
        <w:t xml:space="preserve">Fischer-Gödde and colleagues’ data answer the long-standing question of whether Earth’s diverse building blocks are preserved and accessible for study. But the data also raise key questions, the answers to which will undoubtedly determine the importance of the new findings. For example, how representative of the pre-late-veneer mantle is the suite of rock samples from southwest Greenland? Are nucleosynthetic fingerprints observed in the isotopic compositions of other </w:t>
      </w:r>
      <w:r w:rsidRPr="004443A9">
        <w:lastRenderedPageBreak/>
        <w:t>elements in the mantle? What is the composition of the ‘missing’ meteorites that dominated the ruthenium composition of the pre-late-veneer mantle, and why has it not yet been identified? And how was the isotopic signature of these meteorites preserved in the convecting mantle? These questions can be addressed only by expanding the search for nucleosynthetic fingerprints in the mantle.</w:t>
      </w:r>
    </w:p>
    <w:p w:rsidR="00DB42FE" w:rsidRPr="004443A9" w:rsidRDefault="00DB42FE" w:rsidP="00616347">
      <w:pPr>
        <w:pStyle w:val="EndNoteBibliography"/>
        <w:spacing w:after="0"/>
        <w:ind w:left="720" w:hanging="360"/>
      </w:pPr>
      <w:r w:rsidRPr="004443A9">
        <w:t>References</w:t>
      </w:r>
    </w:p>
    <w:p w:rsidR="00DB42FE" w:rsidRPr="004443A9" w:rsidRDefault="00DB42FE" w:rsidP="00616347">
      <w:pPr>
        <w:pStyle w:val="EndNoteBibliography"/>
        <w:spacing w:after="0"/>
        <w:ind w:left="720" w:hanging="360"/>
      </w:pPr>
      <w:r w:rsidRPr="004443A9">
        <w:t>1.   Fischer-Gödde, M. et al. Nature 579, 240–244 (2020).</w:t>
      </w:r>
    </w:p>
    <w:p w:rsidR="00DB42FE" w:rsidRPr="004443A9" w:rsidRDefault="00DB42FE" w:rsidP="00616347">
      <w:pPr>
        <w:pStyle w:val="EndNoteBibliography"/>
        <w:spacing w:after="0"/>
        <w:ind w:left="720" w:hanging="360"/>
      </w:pPr>
      <w:r w:rsidRPr="004443A9">
        <w:t>2.   Chambers, J. E. Astrophys. J. 825, 63–81 (2016).</w:t>
      </w:r>
    </w:p>
    <w:p w:rsidR="00DB42FE" w:rsidRPr="004443A9" w:rsidRDefault="00DB42FE" w:rsidP="00616347">
      <w:pPr>
        <w:pStyle w:val="EndNoteBibliography"/>
        <w:spacing w:after="0"/>
        <w:ind w:left="720" w:hanging="360"/>
      </w:pPr>
      <w:r w:rsidRPr="004443A9">
        <w:t>3.   Lambrechts, M. &amp; Johansen, A. Astron. Astrophys. 544, A32 (2012).</w:t>
      </w:r>
    </w:p>
    <w:p w:rsidR="00DB42FE" w:rsidRPr="004443A9" w:rsidRDefault="00DB42FE" w:rsidP="00616347">
      <w:pPr>
        <w:pStyle w:val="EndNoteBibliography"/>
        <w:spacing w:after="0"/>
        <w:ind w:left="720" w:hanging="360"/>
      </w:pPr>
      <w:r w:rsidRPr="004443A9">
        <w:t>4.   Morbidelli, A. &amp; Nesvorny, D. Astron. Astrophys. 546, A18 (2012).</w:t>
      </w:r>
    </w:p>
    <w:p w:rsidR="00DB42FE" w:rsidRPr="004443A9" w:rsidRDefault="00DB42FE" w:rsidP="00616347">
      <w:pPr>
        <w:pStyle w:val="EndNoteBibliography"/>
        <w:spacing w:after="0"/>
        <w:ind w:left="720" w:hanging="360"/>
      </w:pPr>
      <w:r w:rsidRPr="004443A9">
        <w:t>5.   Warren, P. H. Earth Planet. Sci. Lett. 311, 93–100 (2011).</w:t>
      </w:r>
    </w:p>
    <w:p w:rsidR="00DB42FE" w:rsidRPr="004443A9" w:rsidRDefault="00DB42FE" w:rsidP="00616347">
      <w:pPr>
        <w:pStyle w:val="EndNoteBibliography"/>
        <w:spacing w:after="0"/>
        <w:ind w:left="720" w:hanging="360"/>
      </w:pPr>
      <w:r w:rsidRPr="004443A9">
        <w:t>6.   Becker, H. et al. Geochim. Cosmochim. Acta 70, 4528–4550 (2006).</w:t>
      </w:r>
    </w:p>
    <w:p w:rsidR="00DB42FE" w:rsidRPr="004443A9" w:rsidRDefault="00DB42FE" w:rsidP="00616347">
      <w:pPr>
        <w:pStyle w:val="EndNoteBibliography"/>
        <w:spacing w:after="0"/>
        <w:ind w:left="720" w:hanging="360"/>
      </w:pPr>
      <w:r w:rsidRPr="004443A9">
        <w:t>7.   Chou, C.-L. Proc. 9th Lunar Planet. Sci. Conf. 219–230 (Lunar Planet. Inst., 1978).</w:t>
      </w:r>
    </w:p>
    <w:p w:rsidR="00DB42FE" w:rsidRPr="004443A9" w:rsidRDefault="00DB42FE" w:rsidP="00616347">
      <w:pPr>
        <w:pStyle w:val="EndNoteBibliography"/>
        <w:spacing w:after="0"/>
        <w:ind w:left="720" w:hanging="360"/>
      </w:pPr>
      <w:r w:rsidRPr="004443A9">
        <w:t>8.   Kimura, K., Lewis, R. S. &amp; Anders, E. Geochim. Cosmochim. Acta 38, 683–781 (1974).</w:t>
      </w:r>
    </w:p>
    <w:p w:rsidR="00DB42FE" w:rsidRPr="004443A9" w:rsidRDefault="00DB42FE" w:rsidP="00616347">
      <w:pPr>
        <w:pStyle w:val="EndNoteBibliography"/>
        <w:spacing w:after="0"/>
        <w:ind w:left="720" w:hanging="360"/>
      </w:pPr>
      <w:r w:rsidRPr="004443A9">
        <w:t>9.   Dauphas, N. Nature 541, 521–524 (2017).</w:t>
      </w:r>
    </w:p>
    <w:p w:rsidR="00DB42FE" w:rsidRPr="004443A9" w:rsidRDefault="00DB42FE" w:rsidP="00616347">
      <w:pPr>
        <w:pStyle w:val="EndNoteBibliography"/>
        <w:spacing w:after="0"/>
        <w:ind w:left="720" w:hanging="360"/>
      </w:pPr>
      <w:r w:rsidRPr="004443A9">
        <w:t>10. Marty, B. Earth Planet. Sci. Lett. 313–314, 56–66 (2012).</w:t>
      </w:r>
    </w:p>
    <w:p w:rsidR="00DB42FE" w:rsidRPr="004443A9" w:rsidRDefault="00DB42FE" w:rsidP="00616347">
      <w:pPr>
        <w:pStyle w:val="EndNoteBibliography"/>
        <w:spacing w:after="0"/>
        <w:ind w:left="720" w:hanging="360"/>
      </w:pPr>
      <w:r w:rsidRPr="004443A9">
        <w:t>11. Alexander, C. M. O’D. et al. Science 337, 721–723 (2012).</w:t>
      </w:r>
    </w:p>
    <w:p w:rsidR="00DB42FE" w:rsidRPr="004443A9" w:rsidRDefault="00DB42FE" w:rsidP="00616347">
      <w:pPr>
        <w:pStyle w:val="EndNoteBibliography"/>
        <w:spacing w:after="0"/>
        <w:ind w:left="720" w:hanging="360"/>
      </w:pPr>
      <w:r w:rsidRPr="004443A9">
        <w:t>12. Bermingham, K. R. &amp; Walker, R. J. Earth Planet. Sci. Lett. 474, 466–473 (2017).</w:t>
      </w:r>
    </w:p>
    <w:p w:rsidR="00DB42FE" w:rsidRPr="004443A9" w:rsidRDefault="00DB42FE" w:rsidP="00616347">
      <w:pPr>
        <w:pStyle w:val="EndNoteBibliography"/>
        <w:spacing w:after="0"/>
        <w:ind w:left="720" w:hanging="360"/>
      </w:pPr>
      <w:r w:rsidRPr="004443A9">
        <w:t>13. Fischer-Gödde, M. &amp; Kleine, T. Nature 541, 525–527 (2017).</w:t>
      </w:r>
    </w:p>
    <w:p w:rsidR="00DB42FE" w:rsidRPr="004443A9" w:rsidRDefault="00DB42FE" w:rsidP="00616347">
      <w:pPr>
        <w:pStyle w:val="EndNoteBibliography"/>
        <w:spacing w:after="0"/>
        <w:ind w:left="720" w:hanging="360"/>
      </w:pPr>
      <w:r w:rsidRPr="004443A9">
        <w:t>14. Fischer-Gödde, M., Burkhardt, C., Kruijer, T. S. &amp; Kleine, T. Geochim. Cosmochim. Acta 168, 151–171 (2015).</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Bernhardt, J.R., Kratina, P., Pereira, A.L., Tamminen, M., Thomas, M.K., Narwani, A., </w:t>
      </w:r>
      <w:r w:rsidR="00616347">
        <w:t xml:space="preserve">2020. </w:t>
      </w:r>
      <w:r w:rsidRPr="004443A9">
        <w:t>The evolution of competitive ability for essential resources. Philosophical Transactions of the Royal Society B: Biological Sciences 375, 20190247.</w:t>
      </w:r>
    </w:p>
    <w:p w:rsidR="00DB42FE" w:rsidRPr="004443A9" w:rsidRDefault="00DB42FE" w:rsidP="00616347">
      <w:pPr>
        <w:pStyle w:val="EndNoteBibliography"/>
        <w:ind w:left="360"/>
      </w:pPr>
      <w:r w:rsidRPr="004443A9">
        <w:t>https://doi.org/10.1098/rstb.2019.0247</w:t>
      </w:r>
    </w:p>
    <w:p w:rsidR="00DB42FE" w:rsidRPr="004443A9" w:rsidRDefault="00DB42FE" w:rsidP="00616347">
      <w:pPr>
        <w:pStyle w:val="EndNoteBibliography"/>
        <w:spacing w:after="0"/>
        <w:ind w:left="360"/>
      </w:pPr>
      <w:r w:rsidRPr="004443A9">
        <w:t xml:space="preserve">Competition for limiting resources is among the most fundamental ecological interactions and has long been considered a key driver of species coexistence and biodiversity. Species' minimum resource requirements, their R*s, are key traits that link individual physiological demands to the outcome of competition. However, a major question remains unanswered—to what extent are species’ competitive traits able to evolve in response to resource limitation? To address this knowledge gap, we performed an evolution experiment in which we exposed Chlamydomonas reinhardtii for approximately 285 generations to seven environments in chemostats that differed in resource supply ratios (including nitrogen, phosphorus and light limitation) and salt stress. We then grew the ancestors and descendants in a common garden and quantified their competitive abilities for essential resources. We investigated constraints on trait evolution by testing whether changes in resource requirements for different resources were correlated. Competitive abilities for phosphorus improved in all populations, while competitive abilities for nitrogen and light increased in some populations and decreased in others. In contrast to the common assumption that there are trade-offs between competitive abilities for different resources, we found that improvements in competitive ability for a resource came at no detectable cost. Instead, improvements in competitive ability for multiple resources were either positively correlated or not significantly correlated. Using resource competition theory, we then demonstrated that rapid adaptation in competitive traits altered the predicted outcomes of competition. These results highlight the need to incorporate </w:t>
      </w:r>
      <w:r w:rsidRPr="004443A9">
        <w:lastRenderedPageBreak/>
        <w:t>contemporary evolutionary change into predictions of competitive community dynamics over environmental gradients.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Berrier, K.L., Prebihalo, S.E., Synovec, R.E., </w:t>
      </w:r>
      <w:r w:rsidR="00616347">
        <w:t xml:space="preserve">2020. </w:t>
      </w:r>
      <w:r w:rsidRPr="004443A9">
        <w:t>Chapter 7 - Advanced data handling in comprehensive two-dimensional gas chromatography, in: Snow, N.H. (Ed.), Separation Science and Technology. Academic Press, pp. 229-268.</w:t>
      </w:r>
    </w:p>
    <w:p w:rsidR="00DB42FE" w:rsidRPr="004443A9" w:rsidRDefault="00DB42FE" w:rsidP="00616347">
      <w:pPr>
        <w:pStyle w:val="EndNoteBibliography"/>
        <w:ind w:left="360"/>
      </w:pPr>
      <w:r w:rsidRPr="004443A9">
        <w:t>http://www.sciencedirect.com/science/article/pii/B9780128137451000076</w:t>
      </w:r>
    </w:p>
    <w:p w:rsidR="00DB42FE" w:rsidRPr="004443A9" w:rsidRDefault="00DB42FE" w:rsidP="00616347">
      <w:pPr>
        <w:pStyle w:val="EndNoteBibliography"/>
        <w:spacing w:after="0"/>
        <w:ind w:left="360"/>
      </w:pPr>
      <w:r w:rsidRPr="004443A9">
        <w:t>Advanced data handling techniques, specifically chemometric data analysis tools, have become an integral part of successful implementation of comprehensive two-dimensional (2D) gas chromatography (GC×GC) for the analysis of complex samples. When GC×GC is coupled with a multichannel detector such as a time-of-flight–mass spectrometer (TOFMS), enormous data sets are produced that require chemometric methods to glean meaningful information. Chemometric methods utilize linear algebra and statistical concepts to reveal underlying chemical relationships in the data that are related to the experimental design. However, the successful application of chemometrics is not without its challenges in order to reap the rewards. Since there are a myriad of chemometric methods, in this chapter we focus on the operation of the most common tools: deconvolution, pattern recognition, discovery-based analysis, and property prediction methods. Considerations of experimental design, preprocessing, data structure, and analysis goals are included. Current applications of these advanced data handling methods are demonstrated to highlight the ability to obtain useful information from complex samples.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Beschkov, V., Alexieva, Z., Parvanova-Mancheva, T., Vasileva, E., Gerginova, M., Peneva, N., Stoyanova, K., </w:t>
      </w:r>
      <w:r w:rsidR="00616347">
        <w:t xml:space="preserve">2020. </w:t>
      </w:r>
      <w:r w:rsidRPr="004443A9">
        <w:t xml:space="preserve">Phenol biodegradation by the strain </w:t>
      </w:r>
      <w:r w:rsidRPr="004443A9">
        <w:rPr>
          <w:i/>
        </w:rPr>
        <w:t>Pseudomonas putida</w:t>
      </w:r>
      <w:r w:rsidRPr="004443A9">
        <w:t xml:space="preserve"> affected by constant electric field. International Journal of Environmental Science and Technology 17, 1929-1936.</w:t>
      </w:r>
    </w:p>
    <w:p w:rsidR="00DB42FE" w:rsidRPr="004443A9" w:rsidRDefault="00DB42FE" w:rsidP="00616347">
      <w:pPr>
        <w:pStyle w:val="EndNoteBibliography"/>
        <w:ind w:left="360"/>
      </w:pPr>
      <w:r w:rsidRPr="004443A9">
        <w:t>https://doi.org/10.1007/s13762-019-02591-1</w:t>
      </w:r>
    </w:p>
    <w:p w:rsidR="00DB42FE" w:rsidRPr="004443A9" w:rsidRDefault="00DB42FE" w:rsidP="00616347">
      <w:pPr>
        <w:pStyle w:val="EndNoteBibliography"/>
        <w:spacing w:after="0"/>
        <w:ind w:left="360"/>
      </w:pPr>
      <w:r w:rsidRPr="004443A9">
        <w:t xml:space="preserve">Phenol and its derivatives are some of the most dangerous organic pollutants released into the environment. Various methods, including microbial processes, have been applied to reduce their concentrations to acceptable values in the waste streams. The present study considers the effect of constant electric field on the phenol biodegradation potential of the strain </w:t>
      </w:r>
      <w:r w:rsidRPr="004443A9">
        <w:rPr>
          <w:i/>
        </w:rPr>
        <w:t>Pseudomonas putida</w:t>
      </w:r>
      <w:r w:rsidRPr="004443A9">
        <w:t xml:space="preserve"> in aqueous media. The following significant effects are observed: the constant electric field applied enhances the specific growth rate of the bacteria studied at a specified anode potential, i.e., 0.8 V versus the standard hydrogen electrode, compared to a culture without application of electricity. The amount of destroyed phenol at this anode potential is three times higher than that at the control experiment. The enzyme analyses show that the electric field stimulates the activity of phenol hydroxylase (from 0.095 to 0.281 U/mg protein) and catechol-1,2-dioxylase (from 0.688 to 1.22 U/mg protein) at the same anodic potential. The lack of catechol-2,3-dioxylase activity is an indication for the </w:t>
      </w:r>
      <w:r w:rsidRPr="004443A9">
        <w:rPr>
          <w:i/>
        </w:rPr>
        <w:t>ortho</w:t>
      </w:r>
      <w:r w:rsidRPr="004443A9">
        <w:t>-oxidative pathway for phenol biodegradation in the case under consideration. Comparison of the electric current efficiencies, measured (3.2 mA h) and stoichiometric (2.54 A h) ones shows that the stimulation effect is of biochemical origin, but not due to electrochemical processes on the anode.</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lastRenderedPageBreak/>
        <w:t xml:space="preserve">Beti, D.R., Jiang, C., Panja, P., Ring, T.A., Levey, R., </w:t>
      </w:r>
      <w:r w:rsidR="00616347">
        <w:t xml:space="preserve">2020. </w:t>
      </w:r>
      <w:r w:rsidRPr="004443A9">
        <w:t>Hydrocarbon distributions of incremental S1 peaks corresponding to different boiling point ranges of petroleum in rock samples. Journal of Petroleum Science and Engineering 191, 107174.</w:t>
      </w:r>
    </w:p>
    <w:p w:rsidR="00DB42FE" w:rsidRPr="004443A9" w:rsidRDefault="00DB42FE" w:rsidP="00616347">
      <w:pPr>
        <w:pStyle w:val="EndNoteBibliography"/>
        <w:ind w:left="360"/>
      </w:pPr>
      <w:r w:rsidRPr="004443A9">
        <w:t>http://www.sciencedirect.com/science/article/pii/S0920410520302618</w:t>
      </w:r>
    </w:p>
    <w:p w:rsidR="00DB42FE" w:rsidRPr="004443A9" w:rsidRDefault="00DB42FE" w:rsidP="00616347">
      <w:pPr>
        <w:pStyle w:val="EndNoteBibliography"/>
        <w:spacing w:after="0"/>
        <w:ind w:left="360"/>
      </w:pPr>
      <w:r w:rsidRPr="004443A9">
        <w:t>This correspondence presents an extension to the article “A New Method of Source and Reservoir Rock Pyrolysis to Determine the Boiling Point Distribution of Petroleum in Rock Samples” by Beti et al. (2018). Thermal desorption-gas chromatography (TD-GC) analysis of S1 peak and the sequential split of S1 into three peaks were performed on a Gothic shale sample from the Paradox Basin, Utah. The results indicate that the total area and composition of the S1 peak that includes all of the hydrocarbon molecules detected are equivalent to the sum of the three sequential peaks. The hydrocarbon distribution of the three sequential peaks was used to predict the range of hydrocarbons detected at “Incremental S1” temperatures.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Beti, D.R., Panja, P., Jiang, C., Milovic, M., Robinson, R., Ring, T.A., Levey, R., </w:t>
      </w:r>
      <w:r w:rsidR="00616347">
        <w:t xml:space="preserve">2020. </w:t>
      </w:r>
      <w:r w:rsidRPr="004443A9">
        <w:t>Change in hydrocarbon composition in rock samples as a function of time: A thermodynamic evaporation model. Journal of Natural Gas Science and Engineering 77, 103238.</w:t>
      </w:r>
    </w:p>
    <w:p w:rsidR="00DB42FE" w:rsidRPr="004443A9" w:rsidRDefault="00DB42FE" w:rsidP="00616347">
      <w:pPr>
        <w:pStyle w:val="EndNoteBibliography"/>
        <w:ind w:left="360"/>
      </w:pPr>
      <w:r w:rsidRPr="004443A9">
        <w:t>http://www.sciencedirect.com/science/article/pii/S1875510020300925</w:t>
      </w:r>
    </w:p>
    <w:p w:rsidR="00DB42FE" w:rsidRPr="004443A9" w:rsidRDefault="00DB42FE" w:rsidP="00616347">
      <w:pPr>
        <w:pStyle w:val="EndNoteBibliography"/>
        <w:spacing w:after="0"/>
        <w:ind w:left="360"/>
      </w:pPr>
      <w:r w:rsidRPr="004443A9">
        <w:t>Recent pyrolysis analytical methods such as Shale Play (Romero-Sarmiento et al. 2016), HAWK-PAM (Maende et al., 2017) and Incremental S1 (Beti et al., 2018) enable improved understanding of the quantity and quality of free petroleum present in rock samples. However, it is well established that the evaporation losses restrict the ability of an experiment to accurately quantify and qualify free petroleum in rock sample (Michael et al., 2013; Jiang et al., 2016; Li et al. 2020). This article presents a thermodynamic model to explain the change in hydrocarbons composition of rock samples residing in a laboratory as a function of time. The model involves multicomponent residue curves and vapor-liquid equilibrium calculations. The changes in hydrocarbon composition predicted using models were compared with experimental data obtained from thermal desorption-gas chromatography (TD-GC) analysis of rock samples. High correlation coefficients are observed between predicted compositions and the experimental data inferring a good model fidelity. Relatively higher deviations were also observed between experimental data and predicted composition with time. The proposed model is useful in complementing the experimental results and enhancing the fundamental understanding of hydrocarbon loss from rock samples. This model also has the potential to eliminate multiple experiments to estimate the compositions after hours of sample collections.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Bhosale, S., Manigiri, R., Choudhury, R.P., Bhakthavatsalam, V., </w:t>
      </w:r>
      <w:r w:rsidR="00616347">
        <w:t xml:space="preserve">2020. </w:t>
      </w:r>
      <w:r w:rsidRPr="004443A9">
        <w:t>High resolution mass spectrometry and principal component analysis for an exhaustive understanding of acidic species composition in vacuum gas oil samples. Energy &amp; Fuels 34, 2800-2806.</w:t>
      </w:r>
    </w:p>
    <w:p w:rsidR="00DB42FE" w:rsidRPr="004443A9" w:rsidRDefault="00DB42FE" w:rsidP="00616347">
      <w:pPr>
        <w:pStyle w:val="EndNoteBibliography"/>
        <w:ind w:left="360"/>
      </w:pPr>
      <w:r w:rsidRPr="004443A9">
        <w:t>https://doi.org/10.1021/acs.energyfuels.9b03815</w:t>
      </w:r>
    </w:p>
    <w:p w:rsidR="00DB42FE" w:rsidRPr="004443A9" w:rsidRDefault="00DB42FE" w:rsidP="00616347">
      <w:pPr>
        <w:pStyle w:val="EndNoteBibliography"/>
        <w:spacing w:after="0"/>
        <w:ind w:left="360"/>
      </w:pPr>
      <w:r w:rsidRPr="004443A9">
        <w:t xml:space="preserve">This article illustrates the study of the Ox-class composition of acidic species in different vacuum gas oil (VGO) samples by using electrospray ionization high resolution mass spectrometry (ESI HRMS) and principle component analysis (PCA). The conventional total acid number (TAN) is determined by titration of a strong acid species with milligrams of KOH. The inability of TAN to explain the total </w:t>
      </w:r>
      <w:r w:rsidRPr="004443A9">
        <w:lastRenderedPageBreak/>
        <w:t>acidity is verified by spiking studies of model acidic compounds in VGO samples by using autotitrator and UV–Vis method. Furthermore, HRMS investigations were carried out on 20 VGO samples with TANs ranging from 0.39 to 8.90 mg of KOH/g. The HRMS results could not explain the trends for the variations in O1, O2, O3, and O4 species with respect to TAN. The complexity of the trends in the above Ox classes and the intragroup variations of each Ox class prompted the use of unsupervised PCA models for the combined O2+O4 (i.e., mono- and di-carboxylic acids) and O1+O3 (i.e., phenolic and hydroxycarboxylic acids) species. The first principal components (PC1) of the PCAs of O1+O3 and O2+O4 cover 83.47 and 73.48% of the total variance, respectively. In PCA1, the projection of the data with the greatest variance of the O2 class is along the first axis, explaining the observed TAN. The PCA1 had limitations, explaining the low-TAN samples, where the O2 variance was merely fluctuating, especially for lower TANs that were close in value to each other. This led us to determine the intragroup compositional variances of O1 and O3 by conducting PCA2. PCA2 basically explained the remaining weak acid species that were neglected by TAN but served as a contributing factor to corrosion.</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Bjerstedt, T.W., Shedd, W.W., Natter, M.G., Abadie, P.B., Moridis, G.J., Reagan, M.T., </w:t>
      </w:r>
      <w:r w:rsidR="00616347">
        <w:t xml:space="preserve">2020. </w:t>
      </w:r>
      <w:r w:rsidRPr="004443A9">
        <w:t>Evaluation of hydrocarbon broaching after subsurface containment failure, Gulf of Mexico. American Association of Petroleum Geologists Bulletin 104, 845-862.</w:t>
      </w:r>
    </w:p>
    <w:p w:rsidR="00DB42FE" w:rsidRPr="004443A9" w:rsidRDefault="00DB42FE" w:rsidP="00616347">
      <w:pPr>
        <w:pStyle w:val="EndNoteBibliography"/>
        <w:ind w:left="360"/>
      </w:pPr>
      <w:r w:rsidRPr="004443A9">
        <w:t>http://archives.datapages.com/data/bulletns/2020/04apr/BLTN18097/bltn18097.html</w:t>
      </w:r>
    </w:p>
    <w:p w:rsidR="00DB42FE" w:rsidRPr="004443A9" w:rsidRDefault="00DB42FE" w:rsidP="00616347">
      <w:pPr>
        <w:pStyle w:val="EndNoteBibliography"/>
        <w:ind w:left="360"/>
      </w:pPr>
      <w:r w:rsidRPr="004443A9">
        <w:t>Broaching refers to the release of hydrocarbons at the seafloor after a loss of subsurface well containment. An underground blowout may allow migration of fluids upward through adjacent formations or the annulus to the seafloor. After the BP 001 Macondo well was capped, an oil slick was observed near the well. Available data were interpreted to determine if the slick was reservoir fluid broaching the seafloor or if it was a natural seep in the Gulf of Mexico. The experience revealed that no basis existed for estimating subsurface broach rates or how a potential to broach should be considered during well permitting decisions.</w:t>
      </w:r>
    </w:p>
    <w:p w:rsidR="00DB42FE" w:rsidRPr="004443A9" w:rsidRDefault="00DB42FE" w:rsidP="00616347">
      <w:pPr>
        <w:pStyle w:val="EndNoteBibliography"/>
        <w:ind w:left="360"/>
      </w:pPr>
      <w:r w:rsidRPr="004443A9">
        <w:t>Lawrence Berkeley National Laboratory (LBNL) modeled two broaching failure scenarios selected by the Bureau of Ocean Energy Management (BOEM) and representative of Gulf geosystems. Geoscientists from BOEM provided reservoir parameters and interpreted geologic surfaces from depth-migrated three-dimensional seismic volumes. The LBNL adapted existing supercomputing capabilities to model the traveltime for formation fluids to reach the seafloor after subsurface containment failure.</w:t>
      </w:r>
    </w:p>
    <w:p w:rsidR="00DB42FE" w:rsidRPr="004443A9" w:rsidRDefault="00DB42FE" w:rsidP="00616347">
      <w:pPr>
        <w:pStyle w:val="EndNoteBibliography"/>
        <w:spacing w:after="0"/>
        <w:ind w:left="360"/>
      </w:pPr>
      <w:r w:rsidRPr="004443A9">
        <w:t>The most sensitive parameters affecting traveltime are the mixture of formation fluids and the permeability of the geologic media through which it passes. Assuming nondepletion of reservoir pressure, gas-prone multiphase fluids may broach within a matter of decades. Wet oil and oil-prone multiphase fluids are slower by one to three orders of magnitude. The likelihood for the modeled systems to broach was mainly dependent on casing failure depth. The BOEM concluded that casing failures greater than 7500 ft (&gt;2280 m) below mudline (seafloor) will not broach within a 6-month time frame of regulatory concern.</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Bobrovskiy, I., Hope, J.M., Golubkova, E., Brocks, J.J., </w:t>
      </w:r>
      <w:r w:rsidR="00616347">
        <w:t xml:space="preserve">2020. </w:t>
      </w:r>
      <w:r w:rsidRPr="004443A9">
        <w:t>Food sources for the Ediacara biota communities. Nature Communications 11, 1261.</w:t>
      </w:r>
    </w:p>
    <w:p w:rsidR="00DB42FE" w:rsidRPr="004443A9" w:rsidRDefault="00DB42FE" w:rsidP="00616347">
      <w:pPr>
        <w:pStyle w:val="EndNoteBibliography"/>
        <w:ind w:left="360"/>
      </w:pPr>
      <w:r w:rsidRPr="004443A9">
        <w:t>https://doi.org/10.1038/s41467-020-15063-9</w:t>
      </w:r>
    </w:p>
    <w:p w:rsidR="00DB42FE" w:rsidRPr="004443A9" w:rsidRDefault="00DB42FE" w:rsidP="00616347">
      <w:pPr>
        <w:pStyle w:val="EndNoteBibliography"/>
        <w:spacing w:after="0"/>
        <w:ind w:left="360"/>
      </w:pPr>
      <w:r w:rsidRPr="004443A9">
        <w:lastRenderedPageBreak/>
        <w:t>The Ediacara biota represents the first complex macroscopic organisms in the geological record, foreshadowing the radiation of eumetazoan animals in the Cambrian explosion. However, little is known about the contingencies that lead to their emergence, including the possible roles of nutrient availability and the quality of food sources. Here we present information on primary producers in the Ediacaran based on biomarker molecules that were extracted from sediments hosting Ediacaran macrofossils. High relative abundances of algal steranes over bacterial hopanes suggest that the Ediacara biota inhabited nutrient replete environments with an abundance of algal food sources comparable to Phanerozoic ecosystems. Thus, organisms of the Ediacara biota inhabited nutrient-rich environments akin to those that later fuelled the Cambrian explosion.</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Boitsov, S., Klungsøyr, J., Jensen, H.K.B., </w:t>
      </w:r>
      <w:r w:rsidR="00616347">
        <w:t xml:space="preserve">2020. </w:t>
      </w:r>
      <w:r w:rsidRPr="004443A9">
        <w:t>Background concentrations of polycyclic aromatic hydrocarbons (PAHs) in deep core sediments from the Norwegian Sea and the Barents Sea: A proposed update of the OSPAR Commission background values for these sea areas. Chemosphere 251, 126344.</w:t>
      </w:r>
    </w:p>
    <w:p w:rsidR="00DB42FE" w:rsidRPr="004443A9" w:rsidRDefault="00DB42FE" w:rsidP="00616347">
      <w:pPr>
        <w:pStyle w:val="EndNoteBibliography"/>
        <w:ind w:left="360"/>
      </w:pPr>
      <w:r w:rsidRPr="004443A9">
        <w:t>http://www.sciencedirect.com/science/article/pii/S0045653520305373</w:t>
      </w:r>
    </w:p>
    <w:p w:rsidR="00DB42FE" w:rsidRPr="004443A9" w:rsidRDefault="00DB42FE" w:rsidP="00616347">
      <w:pPr>
        <w:pStyle w:val="EndNoteBibliography"/>
        <w:spacing w:after="0"/>
        <w:ind w:left="360"/>
      </w:pPr>
      <w:r w:rsidRPr="004443A9">
        <w:t>Geochemical studies of 174 sediment cores collected by the MAREANO mapping program in Norwegian waters of the North Atlantic Ocean give new sets of values of background concentrations (BCs) for polycyclic aromatic hydrocarbons (PAHs) for the studied regions. The study is based on deep core sediment samples representing background levels of PAHs. The samples selected were only from the deeper parts of undisturbed sediment cores with low, stable concentrations of petrogenic and pyrogenic PAHs, with low variation for individual PAH compounds between the samples within the same core, and from below the parts of the cores dated with 210Pb to approximately the last 100–150 years. The results show that the main part of the studied area has BCs different from those previously established by OSPAR Commission (OSPAR) for the North-East Atlantic. Another area in central Barents Sea has a separate set of BCs of pyrogenic PAHs, apparently due to the influence from marginal ice zone mechanisms. A third area with its own set of BCs has been established for north-western Barents Sea off the coast of Svalbard, due to high natural contents of PAHs in this area. BCs for several PAHs not included in the present OSPAR list are also provided.</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Bonisoli-Alquati, A., Xu, W., Stouffer, P.C., Taylor, S.S., </w:t>
      </w:r>
      <w:r w:rsidR="00616347">
        <w:t xml:space="preserve">2020. </w:t>
      </w:r>
      <w:r w:rsidRPr="004443A9">
        <w:t xml:space="preserve">Transcriptome analysis indicates a broad range of toxic effects of </w:t>
      </w:r>
      <w:r w:rsidRPr="004443A9">
        <w:rPr>
          <w:i/>
        </w:rPr>
        <w:t>Deepwater Horizon</w:t>
      </w:r>
      <w:r w:rsidRPr="004443A9">
        <w:t xml:space="preserve"> oil on Seaside Sparrows. Science of The Total Environment 720, 137583.</w:t>
      </w:r>
    </w:p>
    <w:p w:rsidR="00DB42FE" w:rsidRPr="004443A9" w:rsidRDefault="00DB42FE" w:rsidP="00616347">
      <w:pPr>
        <w:pStyle w:val="EndNoteBibliography"/>
        <w:ind w:left="360"/>
      </w:pPr>
      <w:r w:rsidRPr="004443A9">
        <w:t>http://www.sciencedirect.com/science/article/pii/S0048969720310949</w:t>
      </w:r>
    </w:p>
    <w:p w:rsidR="00DB42FE" w:rsidRPr="004443A9" w:rsidRDefault="00DB42FE" w:rsidP="00616347">
      <w:pPr>
        <w:pStyle w:val="EndNoteBibliography"/>
        <w:spacing w:after="0"/>
        <w:ind w:left="360"/>
      </w:pPr>
      <w:r w:rsidRPr="004443A9">
        <w:t>In marine species, the transcriptomic response to Deepwater Horizon (DWH) oil implicated many biochemical pathways, with corresponding adverse outcomes on organ development and physiological performance. Terrestrial organisms differ in their mechanisms of exposure to polycyclic aromatic hydrocarbons (PAHs) and their physiological challenges, and may reveal either distinct effects of oil on biochemical pathways or the generality of the responses to oil shown in marine species. Using a cross-species hybridization microarray approach, we investigated the transcriptomic response in the liver of Seaside Sparrows (</w:t>
      </w:r>
      <w:r w:rsidRPr="004443A9">
        <w:rPr>
          <w:i/>
        </w:rPr>
        <w:t>Ammospiza maritima</w:t>
      </w:r>
      <w:r w:rsidRPr="004443A9">
        <w:t xml:space="preserve">) exposed to DWH oil compared with birds from a control site. Our analysis identified 295 genes differentially expressed between birds exposed to oil and controls. Gene ontology (GO) and canonical pathway analysis </w:t>
      </w:r>
      <w:r w:rsidRPr="004443A9">
        <w:lastRenderedPageBreak/>
        <w:t>suggested that the identified genes were involved in a coordinated response that promoted hepatocellular proliferation and liver regeneration while inhibiting apoptosis, necrosis, and liver steatosis. Exposure to oil also altered the expression of genes regulating energy homeostasis, including carbohydrate metabolism and gluconeogenesis, and the biosynthesis, transport and metabolism of lipids. These results provide a molecular mechanism for the long-standing observation of hepatic hypertrophy and altered lipid biosynthesis and transport in birds exposed to crude oil. Several of the activated pathways and pathological outcomes shown here overlap with the ones altered in fish species upon exposure to oil. Overall, our study shows that the path of oil contamination from the marine system into salt marshes can lead to similar responses in terrestrial birds to those described in marine organisms, suggesting similar adverse outcomes and shared machinery for detoxification.</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Boswell, H., Chow, H.Y., Gorecki, T., </w:t>
      </w:r>
      <w:r w:rsidR="00616347">
        <w:t xml:space="preserve">2020. </w:t>
      </w:r>
      <w:r w:rsidRPr="004443A9">
        <w:t>Chapter 4 - Modulators, in: Snow, N.H. (Ed.), Separation Science and Technology. Academic Press, pp. 89-140.</w:t>
      </w:r>
    </w:p>
    <w:p w:rsidR="00DB42FE" w:rsidRPr="004443A9" w:rsidRDefault="00DB42FE" w:rsidP="00616347">
      <w:pPr>
        <w:pStyle w:val="EndNoteBibliography"/>
        <w:ind w:left="360"/>
      </w:pPr>
      <w:r w:rsidRPr="004443A9">
        <w:t>http://www.sciencedirect.com/science/article/pii/B9780128137451000040</w:t>
      </w:r>
    </w:p>
    <w:p w:rsidR="00DB42FE" w:rsidRPr="004443A9" w:rsidRDefault="00DB42FE" w:rsidP="00616347">
      <w:pPr>
        <w:pStyle w:val="EndNoteBibliography"/>
        <w:spacing w:after="0"/>
        <w:ind w:left="360"/>
      </w:pPr>
      <w:r w:rsidRPr="004443A9">
        <w:t>This chapter introduces the basic concepts and principles of the modulator interface for comprehensive two-dimensional gas chromatography (GC×GC). Common terminology and phenomena associated with the modulator functions are described on a general basis. An in-depth discussion of commercial and academic modulator achievements, including their design and operational parameters, is included. The optimization processes aiming at achieving a sufficient separation is also discussed. A direct comparison of the specific categories compares their advantages and disadvantages. Finally, the section on how to choose a modulator should assist new GC×GC users with choosing the optimal instrumental setup for their particular needs and/or applications.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Boudinot, F.G., Dildar, N., Leckie, R.M., Parker, A., Jones, M.M., Sageman, B.B., Bralower, T.J., Sepúlveda, J., </w:t>
      </w:r>
      <w:r w:rsidR="00616347">
        <w:t xml:space="preserve">2020. </w:t>
      </w:r>
      <w:r w:rsidRPr="004443A9">
        <w:t>Neritic ecosystem response to Oceanic Anoxic Event 2 in the Cretaceous Western Interior Seaway, USA. Palaeogeography, Palaeoclimatology, Palaeoecology 546, 109673.</w:t>
      </w:r>
    </w:p>
    <w:p w:rsidR="00DB42FE" w:rsidRPr="004443A9" w:rsidRDefault="00DB42FE" w:rsidP="00616347">
      <w:pPr>
        <w:pStyle w:val="EndNoteBibliography"/>
        <w:ind w:left="360"/>
      </w:pPr>
      <w:r w:rsidRPr="004443A9">
        <w:t>http://www.sciencedirect.com/science/article/pii/S0031018220301188</w:t>
      </w:r>
    </w:p>
    <w:p w:rsidR="00DB42FE" w:rsidRPr="004443A9" w:rsidRDefault="00DB42FE" w:rsidP="00616347">
      <w:pPr>
        <w:pStyle w:val="EndNoteBibliography"/>
        <w:spacing w:after="0"/>
        <w:ind w:left="360"/>
      </w:pPr>
      <w:r w:rsidRPr="004443A9">
        <w:t>Cretaceous oceanic anoxic events (OAEs) were periods of geologically short (&lt;1 million years) global change characterized by elevated temperatures, changes in ocean biogeochemistry, ecological turnover, and the global-scale deposition of black shales. After decades of OAE research, the intensity and spatiotemporal heterogeneity of ocean anoxia and its direct effects on marine ecology remain areas of active study. We present high-resolution organic geochemical and foraminiferal records from the western margin of the Western Interior Seaway (WIS) during the Cenomanian-Turonian Oceanic Anoxic Event 2 (OAE2, ~94 Ma) that indicate reorganization of a neritic ecosystem in response to sea-level rise, and dynamic changes in redox conditions that were likely driven by enhanced marine productivity. A significant transgression prior to OAE2 decreased terrestrial organic matter input and led to enhanced productivity, anoxic bottom waters and sediments, and episodic photic zone euxinia. During the middle of OAE2, further enhanced productivity led to the “</w:t>
      </w:r>
      <w:r w:rsidRPr="004443A9">
        <w:rPr>
          <w:i/>
        </w:rPr>
        <w:t>Heterohelix</w:t>
      </w:r>
      <w:r w:rsidRPr="004443A9">
        <w:t xml:space="preserve"> shift” in planktic foraminifera, the “</w:t>
      </w:r>
      <w:r w:rsidRPr="004443A9">
        <w:rPr>
          <w:i/>
        </w:rPr>
        <w:t>Gavelinella</w:t>
      </w:r>
      <w:r w:rsidRPr="004443A9">
        <w:t xml:space="preserve"> acme” in benthic foraminifera, and deoxygenation in sediments, bottom waters, and the upper water column. The combined use of high-temporal resolution algal, bacterial, and terrestrial biomarkers, in addition to foraminiferal </w:t>
      </w:r>
      <w:r w:rsidRPr="004443A9">
        <w:lastRenderedPageBreak/>
        <w:t>records, demonstrates the sensitivity of marine autotrophic and heterotrophic communities to sea-level rise and variable water column oxygenation in marginal marine settings during hyperthermal events. Furthermore, our results reveal the temporal and spatial heterogeneity of anoxia during OAE2 in the WIS. This study highlights widespread shallow marine feedbacks during global change that may affect neritic ecosystems under future warming scenarios.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Boughoues, Y., Benamira, M., Messaadia, L., Ribouh, N., </w:t>
      </w:r>
      <w:r w:rsidR="00616347">
        <w:t xml:space="preserve">2020. </w:t>
      </w:r>
      <w:r w:rsidRPr="004443A9">
        <w:t>Adsorption and corrosion inhibition performance of some environmental friendly organic inhibitors for mild steel in HCl solution via experimental and theoretical study. Colloids and Surfaces A: Physicochemical and Engineering Aspects 593, 124610.</w:t>
      </w:r>
    </w:p>
    <w:p w:rsidR="00DB42FE" w:rsidRPr="004443A9" w:rsidRDefault="00DB42FE" w:rsidP="00616347">
      <w:pPr>
        <w:pStyle w:val="EndNoteBibliography"/>
        <w:ind w:left="360"/>
      </w:pPr>
      <w:r w:rsidRPr="004443A9">
        <w:t>http://www.sciencedirect.com/science/article/pii/S092777572030203X</w:t>
      </w:r>
    </w:p>
    <w:p w:rsidR="00DB42FE" w:rsidRPr="004443A9" w:rsidRDefault="00DB42FE" w:rsidP="00616347">
      <w:pPr>
        <w:pStyle w:val="EndNoteBibliography"/>
        <w:spacing w:after="0"/>
        <w:ind w:left="360"/>
      </w:pPr>
      <w:r w:rsidRPr="004443A9">
        <w:t>In this study, two organic compounds were synthesized: N-[(2E)-3-phenylprop-2-en-1-yl]aniline (PPA-1) and 4-{[(2E)-3-phenylprop-2-en-1-yl]amino}phenol (PPAP-2). Their structures were confirmed by DRIFT, 1H and 13C NMR spectroscopy analyses. The two organic molecules were inspected as corrosion inhibitors of mild steel in HCl medium. The experimental studies such as electrochemical impedance spectroscopy, potentiodynamic polarization and surface analysis were conducted in order to prove the corrosion inhibition of these molecules and to confirm the presence of the organic film on the mild steel surface. Furthermore, theoretical studies by density functional theory and molecular dynamic simulation were used to corroborate the electrochemical results and to establish the adsorption mechanism and the orientation of the two organic molecules at the interface mild steel-aggressive solution. Langmuir adsorption isotherm model was used to explain the adsorption of the two molecules in HCl solution. Mulliken charges, Fukui functions, proton affinity and gas-phase basicity indicate that the nitrogen and oxygen heteroatoms are the most basic active site. Molecular dynamics simulation showed that the two inhibitors were adsorbed almost parallel on the Fe (110) surface attesting the high inhibition performances.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Bourgon, N., Jaouen, K., Bacon, A.-M., Jochum, K.P., Dufour, E., Duringer, P., Ponche, J.-L., Joannes-Boyau, R., Boesch, Q., Antoine, P.-O., Hullot, M., Weis, U., Schulz-Kornas, E., Trost, M., Fiorillo, D., Demeter, F., Patole-Edoumba, E., Shackelford, L.L., Dunn, T.E., Zachwieja, A., Duangthongchit, S., Sayavonkhamdy, T., Sichanthongtip, P., Sihanam, D., Souksavatdy, V., Hublin, J.-J., Tütken, T., </w:t>
      </w:r>
      <w:r w:rsidR="00616347">
        <w:t xml:space="preserve">2020. </w:t>
      </w:r>
      <w:r w:rsidRPr="004443A9">
        <w:t>Zinc isotopes in Late Pleistocene fossil teeth from a Southeast Asian cave setting preserve paleodietary information. Proceedings of the National Academy of Sciences 117, 4675.</w:t>
      </w:r>
    </w:p>
    <w:p w:rsidR="00DB42FE" w:rsidRPr="004443A9" w:rsidRDefault="00DB42FE" w:rsidP="00616347">
      <w:pPr>
        <w:pStyle w:val="EndNoteBibliography"/>
        <w:ind w:left="360"/>
      </w:pPr>
      <w:r w:rsidRPr="004443A9">
        <w:t>https://doi.org/10.1073/pnas.1911744117</w:t>
      </w:r>
    </w:p>
    <w:p w:rsidR="00DB42FE" w:rsidRPr="004443A9" w:rsidRDefault="00DB42FE" w:rsidP="00616347">
      <w:pPr>
        <w:pStyle w:val="EndNoteBibliography"/>
        <w:ind w:left="360"/>
      </w:pPr>
      <w:r w:rsidRPr="004443A9">
        <w:t>Significance: Dietary habits, especially meat consumption, represent a key aspect in the behavior and evolution of fossil hominin species. Here, we explore zinc (Zn) isotope ratios in tooth enamel of fossil mammals. We show discrimination between different trophic levels and demonstrate that Zn isotopes could prove useful in paleodietary studies of fossil hominin, or other mammalian species, to assess their consumption of animal versus plant resources. We also demonstrate the high preservation potential of pristine diet-related Zn isotope ratios, even under tropical conditions with poor collagen preservation, such as the studied depositional context in Southeast Asia. However, assessing the preservation of original δ</w:t>
      </w:r>
      <w:r w:rsidRPr="004443A9">
        <w:rPr>
          <w:vertAlign w:val="superscript"/>
        </w:rPr>
        <w:t>66</w:t>
      </w:r>
      <w:r w:rsidRPr="004443A9">
        <w:t>Zn values is required for each fossil site as diagenesis may vary across and even within taphonomic settings.</w:t>
      </w:r>
    </w:p>
    <w:p w:rsidR="00DB42FE" w:rsidRPr="004443A9" w:rsidRDefault="00DB42FE" w:rsidP="00616347">
      <w:pPr>
        <w:pStyle w:val="EndNoteBibliography"/>
        <w:spacing w:after="0"/>
        <w:ind w:left="360"/>
      </w:pPr>
      <w:r w:rsidRPr="004443A9">
        <w:lastRenderedPageBreak/>
        <w:t xml:space="preserve">Abstract: Stable carbon and nitrogen isotope ratios of collagen from bone and dentin have frequently been used for dietary reconstruction, but this method is limited by protein preservation. Isotopes of the trace element zinc (Zn) in bioapatite constitute a promising proxy to infer dietary information from extant and extinct vertebrates. The </w:t>
      </w:r>
      <w:r w:rsidRPr="004443A9">
        <w:rPr>
          <w:vertAlign w:val="superscript"/>
        </w:rPr>
        <w:t>66</w:t>
      </w:r>
      <w:r w:rsidRPr="004443A9">
        <w:t>Zn/</w:t>
      </w:r>
      <w:r w:rsidRPr="004443A9">
        <w:rPr>
          <w:vertAlign w:val="superscript"/>
        </w:rPr>
        <w:t>64</w:t>
      </w:r>
      <w:r w:rsidRPr="004443A9">
        <w:t>Zn ratio (expressed as δ</w:t>
      </w:r>
      <w:r w:rsidRPr="004443A9">
        <w:rPr>
          <w:vertAlign w:val="superscript"/>
        </w:rPr>
        <w:t>66</w:t>
      </w:r>
      <w:r w:rsidRPr="004443A9">
        <w:t>Zn value) shows an enrichment of the heavy isotope in mammals along each trophic step. However, preservation of diet-related δ</w:t>
      </w:r>
      <w:r w:rsidRPr="004443A9">
        <w:rPr>
          <w:vertAlign w:val="superscript"/>
        </w:rPr>
        <w:t>66</w:t>
      </w:r>
      <w:r w:rsidRPr="004443A9">
        <w:t>Zn values in fossil teeth has not been assessed yet. Here, we analyzed enamel of fossil teeth from the Late Pleistocene (38.4–13.5 ka) mammalian assemblage of the Tam Hay Marklot (THM) cave in northeastern Laos, to reconstruct the food web and assess the preservation of original δ</w:t>
      </w:r>
      <w:r w:rsidRPr="004443A9">
        <w:rPr>
          <w:vertAlign w:val="superscript"/>
        </w:rPr>
        <w:t>66</w:t>
      </w:r>
      <w:r w:rsidRPr="004443A9">
        <w:t>Zn values. Distinct enamel δ</w:t>
      </w:r>
      <w:r w:rsidRPr="004443A9">
        <w:rPr>
          <w:vertAlign w:val="superscript"/>
        </w:rPr>
        <w:t>66</w:t>
      </w:r>
      <w:r w:rsidRPr="004443A9">
        <w:t>Zn values of the fossil taxa (δ</w:t>
      </w:r>
      <w:r w:rsidRPr="004443A9">
        <w:rPr>
          <w:vertAlign w:val="superscript"/>
        </w:rPr>
        <w:t>66</w:t>
      </w:r>
      <w:r w:rsidRPr="004443A9">
        <w:t>Zn</w:t>
      </w:r>
      <w:r w:rsidRPr="004443A9">
        <w:rPr>
          <w:vertAlign w:val="subscript"/>
        </w:rPr>
        <w:t>carnivore</w:t>
      </w:r>
      <w:r w:rsidRPr="004443A9">
        <w:t xml:space="preserve"> &lt; δ</w:t>
      </w:r>
      <w:r w:rsidRPr="004443A9">
        <w:rPr>
          <w:vertAlign w:val="superscript"/>
        </w:rPr>
        <w:t>66</w:t>
      </w:r>
      <w:r w:rsidRPr="004443A9">
        <w:t>Zn</w:t>
      </w:r>
      <w:r w:rsidRPr="004443A9">
        <w:rPr>
          <w:vertAlign w:val="subscript"/>
        </w:rPr>
        <w:t>omnivore</w:t>
      </w:r>
      <w:r w:rsidRPr="004443A9">
        <w:t xml:space="preserve"> &lt; δ</w:t>
      </w:r>
      <w:r w:rsidRPr="004443A9">
        <w:rPr>
          <w:vertAlign w:val="superscript"/>
        </w:rPr>
        <w:t>66</w:t>
      </w:r>
      <w:r w:rsidRPr="004443A9">
        <w:t>Zn</w:t>
      </w:r>
      <w:r w:rsidRPr="004443A9">
        <w:rPr>
          <w:vertAlign w:val="subscript"/>
        </w:rPr>
        <w:t>herbivore</w:t>
      </w:r>
      <w:r w:rsidRPr="004443A9">
        <w:t>) according to their expected feeding habits were observed, with a trophic carnivore-herbivore spacing of +0.60‰ and omnivores having intermediate values. Zn and trace element concentration profiles similar to those of modern teeth also indicate minimal impact of diagenesis on the enamel. While further work is needed to explore preservation for settings with different taphonomic conditions, the diet-related δ</w:t>
      </w:r>
      <w:r w:rsidRPr="004443A9">
        <w:rPr>
          <w:vertAlign w:val="superscript"/>
        </w:rPr>
        <w:t>66</w:t>
      </w:r>
      <w:r w:rsidRPr="004443A9">
        <w:t>Zn values in fossil enamel from THM cave suggest an excellent long-term preservation potential, even under tropical conditions that are well known to be adverse for collagen preservation. Zinc isotopes could thus provide a new tool to assess the diet of fossil hominins and associated fauna, as well as trophic relationships in past food webs.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Bröder, L., Davydova, A., Davydov, S., Zimov, N., Haghipour, N., Eglinton, T.I., Vonk, J.E., </w:t>
      </w:r>
      <w:r w:rsidR="00616347">
        <w:t xml:space="preserve">2020. </w:t>
      </w:r>
      <w:r w:rsidRPr="004443A9">
        <w:t>Particulate organic matter dynamics in a permafrost headwater stream and the Kolyma River mainstem. Journal of Geophysical Research: Biogeosciences 125, e2019JG005511.</w:t>
      </w:r>
    </w:p>
    <w:p w:rsidR="00DB42FE" w:rsidRPr="004443A9" w:rsidRDefault="00DB42FE" w:rsidP="00616347">
      <w:pPr>
        <w:pStyle w:val="EndNoteBibliography"/>
        <w:ind w:left="360"/>
      </w:pPr>
      <w:r w:rsidRPr="004443A9">
        <w:t>https://doi.org/10.1029/2019JG005511</w:t>
      </w:r>
    </w:p>
    <w:p w:rsidR="00DB42FE" w:rsidRPr="004443A9" w:rsidRDefault="00DB42FE" w:rsidP="00616347">
      <w:pPr>
        <w:pStyle w:val="EndNoteBibliography"/>
        <w:ind w:left="360"/>
      </w:pPr>
      <w:r w:rsidRPr="004443A9">
        <w:t>Abstract: Ongoing rapid arctic warming leads to extensive permafrost thaw, which in turn increases the hydrologic connectivity of the landscape by opening up subsurface flow paths. Suspended particulate organic matter (POM) has proven useful to trace permafrost thaw signals in arctic rivers, which may experience higher organic matter loads in the future due to expansion and increasing intensity of thaw processes such as thermokarst and river bank erosion. Here we focus on the Kolyma River watershed in Northeast Siberia, the world's largest watershed entirely underlain by continuous permafrost. To evaluate and characterize the present‐day fluvial release of POM from permafrost thaw, we collected water samples every 4–7 days during the 4‐month open water season in 2013 and 2015 from the lower Kolyma River mainstem and from a small nearby headwater stream (Y3) draining an area completely underlain by Yedoma permafrost (Pleistocene ice‐ and organic‐rich deposits). Concentrations of particulate organic carbon generally followed the hydrograph with the highest concentrations during the spring flood in late May/early June. For the Kolyma River, concentrations of dissolved organic carbon showed a similar behavior, in contrast to the headwater stream, where dissolved organic carbon values were generally higher and particulate organic carbon concentrations lower than for Kolyma. Carbon isotope analysis (δ</w:t>
      </w:r>
      <w:r w:rsidRPr="004443A9">
        <w:rPr>
          <w:vertAlign w:val="superscript"/>
        </w:rPr>
        <w:t>13</w:t>
      </w:r>
      <w:r w:rsidRPr="004443A9">
        <w:t>C, Δ</w:t>
      </w:r>
      <w:r w:rsidRPr="004443A9">
        <w:rPr>
          <w:vertAlign w:val="superscript"/>
        </w:rPr>
        <w:t>14</w:t>
      </w:r>
      <w:r w:rsidRPr="004443A9">
        <w:t xml:space="preserve">C) suggested Kolyma‐POM to stem from both contemporary and older permafrost sources, while Y3‐POM was more strongly influenced by in‐stream production and recent vegetation. Lipid biomarker concentrations (high‐molecular‐weight </w:t>
      </w:r>
      <w:r w:rsidRPr="004443A9">
        <w:rPr>
          <w:i/>
        </w:rPr>
        <w:t>n</w:t>
      </w:r>
      <w:r w:rsidRPr="004443A9">
        <w:t xml:space="preserve">‐alkanoic acids and </w:t>
      </w:r>
      <w:r w:rsidRPr="004443A9">
        <w:rPr>
          <w:i/>
        </w:rPr>
        <w:t>n</w:t>
      </w:r>
      <w:r w:rsidRPr="004443A9">
        <w:t>‐alkanes) did not display clear seasonal patterns, yet implied Y3‐POM to be more degraded than Kolyma‐POM.</w:t>
      </w:r>
    </w:p>
    <w:p w:rsidR="00DB42FE" w:rsidRPr="004443A9" w:rsidRDefault="00DB42FE" w:rsidP="00616347">
      <w:pPr>
        <w:pStyle w:val="EndNoteBibliography"/>
        <w:spacing w:after="0"/>
        <w:ind w:left="360"/>
      </w:pPr>
      <w:r w:rsidRPr="004443A9">
        <w:t xml:space="preserve">Plain Language Summary: Rapidly rising temperatures in the Arctic cause hitherto permanently frozen soils (permafrost) to thaw and release organic matter to streams and rivers. In this study, which aims to characterize the abundance and composition of released material, we analyzed water samples from the Kolyma River mainstem and from a small headwater stream in Northeast Siberia </w:t>
      </w:r>
      <w:r w:rsidRPr="004443A9">
        <w:lastRenderedPageBreak/>
        <w:t xml:space="preserve">collected during the nonfrozen periods (late May to early October) of 2013 and 2015. Generally, the Kolyma carries more suspended particulate organic matter (POM) with increasing water discharge, with concentrations that are on average higher and </w:t>
      </w:r>
      <w:r w:rsidRPr="004443A9">
        <w:rPr>
          <w:vertAlign w:val="superscript"/>
        </w:rPr>
        <w:t>14</w:t>
      </w:r>
      <w:r w:rsidRPr="004443A9">
        <w:t>C ages that are older than for the small stream (average ages of ~2,840 and ~590 years, respectively). Kolyma‐POM therefore likely derives from a mixture of recent vegetation and old permafrost that is eroded along the river banks. Molecular biomarker signatures (leaf‐wax lipids from higher plants) suggest that this material has not yet undergone extensive degradation. In contrast, the plant‐wax signature in the headwater stream POM appears more degraded, and thus likely originates from seasonally thawing upper soil horizons combined with relatively labile (and young) aquatic vegetation formed in the stream.</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Brown, T.A., Rad-Menéndez, C., Ray, J.L., Skaar, K.S., Thomas, N., Ruiz-Gonzalez, C., Leu, E., </w:t>
      </w:r>
      <w:r w:rsidR="00616347">
        <w:t xml:space="preserve">2020. </w:t>
      </w:r>
      <w:r w:rsidRPr="004443A9">
        <w:t>Influence of nutrient availability on Arctic sea ice diatom HBI lipid synthesis. Organic Geochemistry 141, 103977.</w:t>
      </w:r>
    </w:p>
    <w:p w:rsidR="00DB42FE" w:rsidRPr="004443A9" w:rsidRDefault="00DB42FE" w:rsidP="00616347">
      <w:pPr>
        <w:pStyle w:val="EndNoteBibliography"/>
        <w:ind w:left="360"/>
      </w:pPr>
      <w:r w:rsidRPr="004443A9">
        <w:t>http://www.sciencedirect.com/science/article/pii/S0146638020300127</w:t>
      </w:r>
    </w:p>
    <w:p w:rsidR="00DB42FE" w:rsidRPr="004443A9" w:rsidRDefault="00DB42FE" w:rsidP="00616347">
      <w:pPr>
        <w:pStyle w:val="EndNoteBibliography"/>
        <w:spacing w:after="0"/>
        <w:ind w:left="360"/>
      </w:pPr>
      <w:r w:rsidRPr="004443A9">
        <w:t>Diatom highly branched isoprenoid (HBI) lipids have proven extremely useful as environmental proxies. This study is the first to target the influence of nutrient limitation on HBI synthesis and to present data on the variable biosynthesis of HBIs in sea ice diatoms. In doing so, we show that the cellular abundance of HBIs can vary, by orders of magnitude, within the sea ice habitat; a topic not yet addressed in the literature, which could have far-reaching consequences on how variable HBI concentrations are interpreted in the wider environment.</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Burchett, J.N., Elek, O., Tejos, N., Prochaska, J.X., Tripp, T.M., Bordoloi, R., Forbes, A.G., </w:t>
      </w:r>
      <w:r w:rsidR="00616347">
        <w:t xml:space="preserve">2020. </w:t>
      </w:r>
      <w:r w:rsidRPr="004443A9">
        <w:t>Revealing the dark threads of the cosmic web. The Astrophysical Journal 891, L35.</w:t>
      </w:r>
    </w:p>
    <w:p w:rsidR="00DB42FE" w:rsidRPr="004443A9" w:rsidRDefault="00DB42FE" w:rsidP="00616347">
      <w:pPr>
        <w:pStyle w:val="EndNoteBibliography"/>
        <w:ind w:left="360"/>
      </w:pPr>
      <w:r w:rsidRPr="004443A9">
        <w:t>http://dx.doi.org/10.3847/2041-8213/ab700c</w:t>
      </w:r>
    </w:p>
    <w:p w:rsidR="00DB42FE" w:rsidRPr="004443A9" w:rsidRDefault="00DB42FE" w:rsidP="00616347">
      <w:pPr>
        <w:pStyle w:val="EndNoteBibliography"/>
        <w:spacing w:after="0"/>
        <w:ind w:left="360"/>
      </w:pPr>
      <w:r w:rsidRPr="004443A9">
        <w:t xml:space="preserve">Modern cosmology predicts that matter in our universe today has assembled into a vast network of filamentary structures colloquially termed the "cosmic web." Because this matter is either electromagnetically invisible (i.e., dark) or too diffuse to image in emission, tests of this cosmic web paradigm are limited. Wide-field surveys do reveal web-like structures in the galaxy distribution, but these luminous galaxies represent less than 10% of baryonic matter. Statistics of absorption by the intergalactic medium (IGM) via spectroscopy of distant quasars support the model yet have not conclusively tied the diffuse IGM to the web. Here, we report on a new method inspired by the </w:t>
      </w:r>
      <w:r w:rsidRPr="004443A9">
        <w:rPr>
          <w:i/>
        </w:rPr>
        <w:t>Physarum polycephalum</w:t>
      </w:r>
      <w:r w:rsidRPr="004443A9">
        <w:t xml:space="preserve"> slime mold that is able to infer the density field of the cosmic web from galaxy surveys. Applying our technique to galaxy and absorption-line surveys of the local universe, we demonstrate that the bulk of the IGM indeed resides in the cosmic web. From the outskirts of cosmic web filaments, at approximately the cosmic mean matter density (</w:t>
      </w:r>
      <w:r w:rsidRPr="004443A9">
        <w:rPr>
          <w:i/>
        </w:rPr>
        <w:t>ρ</w:t>
      </w:r>
      <w:r w:rsidRPr="004443A9">
        <w:t xml:space="preserve"> </w:t>
      </w:r>
      <w:r w:rsidRPr="004443A9">
        <w:rPr>
          <w:i/>
          <w:vertAlign w:val="subscript"/>
        </w:rPr>
        <w:t>m</w:t>
      </w:r>
      <w:r w:rsidRPr="004443A9">
        <w:rPr>
          <w:vertAlign w:val="subscript"/>
        </w:rPr>
        <w:t xml:space="preserve"> </w:t>
      </w:r>
      <w:r w:rsidRPr="004443A9">
        <w:t>) and ~5 virial radii from nearby galaxies, we detect an increasing H i absorption signature toward higher densities and the circumgalactic medium, to ~200</w:t>
      </w:r>
      <w:r w:rsidRPr="004443A9">
        <w:rPr>
          <w:i/>
        </w:rPr>
        <w:t>ρ</w:t>
      </w:r>
      <w:r w:rsidRPr="004443A9">
        <w:t xml:space="preserve"> </w:t>
      </w:r>
      <w:r w:rsidRPr="004443A9">
        <w:rPr>
          <w:i/>
          <w:vertAlign w:val="subscript"/>
        </w:rPr>
        <w:t>m</w:t>
      </w:r>
      <w:r w:rsidRPr="004443A9">
        <w:rPr>
          <w:vertAlign w:val="subscript"/>
        </w:rPr>
        <w:t xml:space="preserve"> </w:t>
      </w:r>
      <w:r w:rsidRPr="004443A9">
        <w:t>. However, the absorption is suppressed within the densest environments, suggesting shock-heating and ionization deep within filaments and/or feedback processes within galaxies.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Burton, Z.F., </w:t>
      </w:r>
      <w:r w:rsidR="00616347">
        <w:t xml:space="preserve">2020. </w:t>
      </w:r>
      <w:r w:rsidRPr="004443A9">
        <w:t>The 3-minihelix tRNA evolution theorem. Journal of Molecular Evolution 88, 234-242.</w:t>
      </w:r>
    </w:p>
    <w:p w:rsidR="00DB42FE" w:rsidRPr="004443A9" w:rsidRDefault="00DB42FE" w:rsidP="00616347">
      <w:pPr>
        <w:pStyle w:val="EndNoteBibliography"/>
        <w:ind w:left="360"/>
      </w:pPr>
      <w:r w:rsidRPr="004443A9">
        <w:t>https://doi.org/10.1007/s00239-020-09928-2</w:t>
      </w:r>
    </w:p>
    <w:p w:rsidR="00DB42FE" w:rsidRPr="004443A9" w:rsidRDefault="00DB42FE" w:rsidP="00616347">
      <w:pPr>
        <w:pStyle w:val="EndNoteBibliography"/>
        <w:spacing w:after="0"/>
        <w:ind w:left="360"/>
      </w:pPr>
      <w:r w:rsidRPr="004443A9">
        <w:lastRenderedPageBreak/>
        <w:t>Transfer RNA (tRNA) is the central intellectual property in the evolution of life on Earth. tRNA evolved from repeats and inverted repeats of known sequence. The anticodon and the T stem-loop-stems are homologs with significant conserved sequence identity. A number of models have been advanced to explain tRNA evolution. No 2-minihelix model or accretion model (built a stem at a time) can be correct, in part because of anticodon and T stem-loop-stem identity. Only a 3-minihelix model is adequate.</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Cabral, A.C., Dauner, A.L.L., Xavier, F.C.B., Garcia, M.R.D., Wilhelm, M.M., dos Santos, V.C.G., Netto, S.A., Martins, C.C., </w:t>
      </w:r>
      <w:r w:rsidR="00616347">
        <w:t xml:space="preserve">2020. </w:t>
      </w:r>
      <w:r w:rsidRPr="004443A9">
        <w:t>Tracking the sources of allochthonous organic matter along a subtropical fluvial-estuarine gradient using molecular proxies in view of land uses. Chemosphere 251, 126435.</w:t>
      </w:r>
    </w:p>
    <w:p w:rsidR="00DB42FE" w:rsidRPr="004443A9" w:rsidRDefault="00DB42FE" w:rsidP="00616347">
      <w:pPr>
        <w:pStyle w:val="EndNoteBibliography"/>
        <w:ind w:left="360"/>
      </w:pPr>
      <w:r w:rsidRPr="004443A9">
        <w:t>http://www.sciencedirect.com/science/article/pii/S0045653520306287</w:t>
      </w:r>
    </w:p>
    <w:p w:rsidR="00DB42FE" w:rsidRPr="004443A9" w:rsidRDefault="00DB42FE" w:rsidP="00616347">
      <w:pPr>
        <w:pStyle w:val="EndNoteBibliography"/>
        <w:spacing w:after="0"/>
        <w:ind w:left="360"/>
      </w:pPr>
      <w:r w:rsidRPr="004443A9">
        <w:t>Sedimentary sterols and linear alkylbenzenes associated with allochthonous organic matter (AOM) inputs were studied in surface sediments along the Tubarão riverbed, South Brazil. These markers were analysed in terms of concentrations, diagnostic ratios and by using multivariate analyses to identify the main organic matter sources. It was necessary to integrate all these factors to distinguish the sources and determine sewage contamination. Phytosterols predominated over faecal sterols, but the contributions of livestock waste along the river (determined in 50% of the sites) were confirmed by the fingerprint analysis. Raw sewage contamination was verified at one site, according to the increased levels of sewage molecular markers and confirmed by the multivariate analyses and diagnostic ratios calibrated to this region. A possible synergistic effect between inorganic nanoparticles from coal mine waste and organic contaminants related to AOM input was suggested and should not be ignored since both activities severely contribute to the environmental changes in much of this fluvial-estuarine gradient from the South Atlantic.</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Calvano, C.D., Rigante, E., Picca, R.A., Cataldi, T.R.I., Sabbatini, L., </w:t>
      </w:r>
      <w:r w:rsidR="00616347">
        <w:t xml:space="preserve">2020. </w:t>
      </w:r>
      <w:r w:rsidRPr="004443A9">
        <w:t>An easily transferable protocol for in-situ quasi-non-invasive analysis of protein binders in works of art. Talanta 215, 120882.</w:t>
      </w:r>
    </w:p>
    <w:p w:rsidR="00DB42FE" w:rsidRPr="004443A9" w:rsidRDefault="00DB42FE" w:rsidP="00616347">
      <w:pPr>
        <w:pStyle w:val="EndNoteBibliography"/>
        <w:ind w:left="360"/>
      </w:pPr>
      <w:r w:rsidRPr="004443A9">
        <w:t>http://www.sciencedirect.com/science/article/pii/S0039914020301739</w:t>
      </w:r>
    </w:p>
    <w:p w:rsidR="00DB42FE" w:rsidRPr="004443A9" w:rsidRDefault="00DB42FE" w:rsidP="00616347">
      <w:pPr>
        <w:pStyle w:val="EndNoteBibliography"/>
        <w:spacing w:after="0"/>
        <w:ind w:left="360"/>
      </w:pPr>
      <w:r w:rsidRPr="004443A9">
        <w:t xml:space="preserve">Proteomic approaches based on mass spectrometry have become increasingly popular for protein binder's identification in works of art. The identification of the binder employed may offer key information on paintings and other polychrome objects and contribute to assess their historical and technical context, also providing useful hints for a proper restoration and/or conservation treatment. Usually, the protocols employed to this purpose are invasive and at least micro sampling is required. Here, we present a simple transferable method for a quasi-non-invasive analysis of binders in artworks based on the use of a very small poly (2-hydroxyethyl methacrylate)/poly (vinylpyrrolidone) hydrogel (3 mm × 3 mm) previously loaded with trypsin for the in-situ digestion of proteins and applied onto the objects' surface. Upon extraction of digested peptides from the hydrogel, they were examined by MALDI-TOF-MS and/or LC-ESI-MS/MS. The method was validated on fresh and aged model pictorial layers; optical microscope images, and spectrophotocolorimetry confirmed that neither damage nor color alteration of the painting layer occurred, and no hydrogel residue was left. X-ray photoelectron spectroscopy carried out on paint models confirmed that the treatment with trypsin-loaded gels did not modify the pigment composition, even on aged samples. The protocol was successfully applied to a painting on wood mockup aged thirty years, a statue dated XV century exposed in San Lorenzo church (Bisceglie, Bari, Apulia), and a liturgical scroll </w:t>
      </w:r>
      <w:r w:rsidRPr="004443A9">
        <w:lastRenderedPageBreak/>
        <w:t>Benedictio ignis et fontis (Benedizionale) of the Museo Diocesano of Bari dated eleventh century; in all these objects the proteinaceous binder was readily and successfully identified.</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Camperi, J., Dai, L., Guillarme, D., Stella, C., </w:t>
      </w:r>
      <w:r w:rsidR="00616347">
        <w:t xml:space="preserve">2020. </w:t>
      </w:r>
      <w:r w:rsidRPr="004443A9">
        <w:t>Development of a 3D-LC/MS workflow for fast, automated, and effective characterization of glycosylation patterns of biotherapeutic products. Analytical Chemistry 92, 4357-4363.</w:t>
      </w:r>
    </w:p>
    <w:p w:rsidR="00DB42FE" w:rsidRPr="004443A9" w:rsidRDefault="00DB42FE" w:rsidP="00616347">
      <w:pPr>
        <w:pStyle w:val="EndNoteBibliography"/>
        <w:ind w:left="360"/>
      </w:pPr>
      <w:r w:rsidRPr="004443A9">
        <w:t>https://doi.org/10.1021/acs.analchem.9b05193</w:t>
      </w:r>
    </w:p>
    <w:p w:rsidR="00DB42FE" w:rsidRPr="004443A9" w:rsidRDefault="00DB42FE" w:rsidP="00616347">
      <w:pPr>
        <w:pStyle w:val="EndNoteBibliography"/>
        <w:spacing w:after="0"/>
        <w:ind w:left="360"/>
      </w:pPr>
      <w:r w:rsidRPr="004443A9">
        <w:t>Glycosylation is a common post-translational modification of therapeutic monoclonal antibodies produced in mammalian cells and is considered an important critical quality attribute (CQA), as it is known to impact efficacy, stability, half-life, and immunogenicity. For these reasons, glycosylation requires characterization and close monitoring during the manufacturing process. Due to the complexity of the glycosylation patterns, sophisticated analytical tools with high resolving power are required for the characterization of the glycoforms. This study describes, for the first time, the development and use of an online three-dimensional high-performance liquid chromatography/mass spectrometry (3D-HPLC/MS) approach for the monitoring of glycosylation patterns at the middle-up level. An immobilized IdeS-enzyme column was used in the first dimension for the digestion of mAbs in 10 min. Then, following an online reversed phase liquid chromatography (RPLC) column reduction, the ≈25 kDa proteolytic fragments were analyzed using hydrophilic interaction chromatography (HILIC) coupled to MS. This novel analytical workflow demonstrated the ability to accurately profile glycosylated variants within a total run time of 95 min. To compare the performance of this analytical strategy with a conventional offline procedure (IdeS digestion x reduction-HILIC/MS), a proof of concept study using two mAbs is described here.</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Cann, I., Pereira, G.V., Abdel-Hamid, A.M., Kim, H., Wefers, D., Kayang, B.B., Kanai, T., Sato, T., Bernardi, R.C., Atomi, H., Mackie, R.I., </w:t>
      </w:r>
      <w:r w:rsidR="00616347">
        <w:t xml:space="preserve">2020. </w:t>
      </w:r>
      <w:r w:rsidRPr="004443A9">
        <w:t>Thermophilic degradation of hemicellulose, a critical feedstock in the production of bioenergy and other value-added products. Applied and Environmental Microbiology 86, e02296-19.</w:t>
      </w:r>
    </w:p>
    <w:p w:rsidR="00DB42FE" w:rsidRPr="004443A9" w:rsidRDefault="00DB42FE" w:rsidP="00616347">
      <w:pPr>
        <w:pStyle w:val="EndNoteBibliography"/>
        <w:ind w:left="360"/>
      </w:pPr>
      <w:r w:rsidRPr="004443A9">
        <w:t>http://aem.asm.org/content/86/7/e02296-19.abstract</w:t>
      </w:r>
    </w:p>
    <w:p w:rsidR="00DB42FE" w:rsidRPr="004443A9" w:rsidRDefault="00DB42FE" w:rsidP="00616347">
      <w:pPr>
        <w:pStyle w:val="EndNoteBibliography"/>
        <w:spacing w:after="0"/>
        <w:ind w:left="360"/>
      </w:pPr>
      <w:r w:rsidRPr="004443A9">
        <w:t>Renewable fuels have gained importance as the world moves toward diversifying its energy portfolio. A critical step in the biomass-to-bioenergy initiative is deconstruction of plant cell wall polysaccharides to their unit sugars for subsequent fermentation to fuels. To acquire carbon and energy for their metabolic processes, diverse microorganisms have evolved genes encoding enzymes that depolymerize polysaccharides to their carbon/energy-rich building blocks. The microbial enzymes mostly target the energy present in cellulose, hemicellulose, and pectin, three major forms of energy storage in plants. In the effort to develop bioenergy as an alternative to fossil fuel, a common strategy is to harness microbial enzymes to hydrolyze cellulose to glucose for fermentation to fuels. However, the conversion of plant biomass to renewable fuels will require both cellulose and hemicellulose, the two largest components of the plant cell wall, as feedstock to improve economic feasibility. Here, we explore the enzymes and strategies evolved by two well-studied bacteria to depolymerize the hemicelluloses xylan/arabinoxylan and mannan. The sets of enzymes, in addition to their applications in biofuels and value-added chemical production, have utility in animal feed enzymes, a rapidly developing industry with potential to minimize adverse impacts of animal agriculture on the environment.</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Cao, T., Xu, H., Liu, G., Deng, M., Cao, Q., Yu, Y., </w:t>
      </w:r>
      <w:r w:rsidR="00616347">
        <w:t xml:space="preserve">2020. </w:t>
      </w:r>
      <w:r w:rsidRPr="004443A9">
        <w:t>Factors influencing microstructure and porosity in shales of the Wufeng-Longmaxi formations in northwestern Guizhou, China. Journal of Petroleum Science and Engineering 191, 107181.</w:t>
      </w:r>
    </w:p>
    <w:p w:rsidR="00DB42FE" w:rsidRPr="004443A9" w:rsidRDefault="00DB42FE" w:rsidP="00616347">
      <w:pPr>
        <w:pStyle w:val="EndNoteBibliography"/>
        <w:ind w:left="360"/>
      </w:pPr>
      <w:r w:rsidRPr="004443A9">
        <w:t>http://www.sciencedirect.com/science/article/pii/S0920410520302680</w:t>
      </w:r>
    </w:p>
    <w:p w:rsidR="00DB42FE" w:rsidRPr="004443A9" w:rsidRDefault="00DB42FE" w:rsidP="00616347">
      <w:pPr>
        <w:pStyle w:val="EndNoteBibliography"/>
        <w:spacing w:after="0"/>
        <w:ind w:left="360"/>
      </w:pPr>
      <w:r w:rsidRPr="004443A9">
        <w:t>Thickness marine shale of Paleozoic Wufeng-Longmaxi Formations is deposited in the northwestern Guizhou province, which borders on the shale gas production area in southeast Sichuan Basin. However, few studies have been performed to characterize shale gas reservoir of the Wufeng-Longmaxi Formations in this area. In this study, 80 shale samples collected from the LY1 well were designed to conduct a series of analyses, aiming to obtain microstructure features and reveal their controlling factors. Shales within the Upper Longmaxi Formation characterized by low total organic carbon (TOC) content, high clay mineral content and low porosity are considered to be unfavorable interval for shale gas exploration. Whereas, a high-quantity shale (TOC&gt;2%, clay&lt;40%) interval with thickness of about 27 m exists within Lower Longmaxi Formation and Wufeng Formation. Pores in the studied shales are dominated by organic matter (OM) pores, followed intraparticle (intraP) within carbonates and intercrystalline pores within pyrite framboids. OM pores could be divided into three types, as OM pores within solid bitumen, in-situ amorphous kerogen and graptolite. OM pores are extremely developed in solid bitumen and in-situ amorphous kerogen, and the former have larger diameter than the latter. Rare pores are developed in graptolite. The total porosity and specific surface area of the shales within the Lower Longmaxi Formation and Wufeng Formation are twice more than those within the Upper Longmaxi Formation. Samples with higher TOC values commonly have higher porosities and specific surface areas, suggesting TOC content determines shale physical property. Clay mineral content exhibits a negative influence on microstructure and porosity but determines water saturation. Water saturation has significant negative relationships with micro-to mesopore volumes, porosity and TOC content, illustrating water molecular stores mainly in hydrophilic pores associated with clay minerals rather than OM-hosted nanopores. The gas generation, reservoir quantity and gas content of the Longmaxi-Wufeng shales in northwestern Guizhou are also compared with those of the famous Fuling and Weiyuan districts in eastern Sichuan Basin, and we considered that the shale gas prospect in northwestern Guizhou is excellent.</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Capet, A., Vandenbulcke, L., Grégoire, M., </w:t>
      </w:r>
      <w:r w:rsidR="00616347">
        <w:t xml:space="preserve">2020. </w:t>
      </w:r>
      <w:r w:rsidRPr="004443A9">
        <w:t>Climate change induced a new intermittent regime of convective ventilation that threatens the Black Sea oxygenation status. Biogeosciences Discussions 2020, 1-24.</w:t>
      </w:r>
    </w:p>
    <w:p w:rsidR="00DB42FE" w:rsidRPr="004443A9" w:rsidRDefault="00DB42FE" w:rsidP="00616347">
      <w:pPr>
        <w:pStyle w:val="EndNoteBibliography"/>
        <w:ind w:left="360"/>
      </w:pPr>
      <w:r w:rsidRPr="004443A9">
        <w:t>https://www.biogeosciences-discuss.net/bg-2020-76/</w:t>
      </w:r>
    </w:p>
    <w:p w:rsidR="00DB42FE" w:rsidRPr="004443A9" w:rsidRDefault="00DB42FE" w:rsidP="00616347">
      <w:pPr>
        <w:pStyle w:val="EndNoteBibliography"/>
        <w:spacing w:after="0"/>
        <w:ind w:left="360"/>
      </w:pPr>
      <w:r w:rsidRPr="004443A9">
        <w:t>The Black Sea is entirely anoxic, except for a thin (</w:t>
      </w:r>
      <w:r w:rsidRPr="004443A9">
        <w:rPr>
          <w:rFonts w:ascii="Cambria Math" w:hAnsi="Cambria Math" w:cs="Cambria Math"/>
        </w:rPr>
        <w:t>∼</w:t>
      </w:r>
      <w:r w:rsidRPr="004443A9">
        <w:rPr>
          <w:rFonts w:cs="Calibri"/>
        </w:rPr>
        <w:t> </w:t>
      </w:r>
      <w:r w:rsidRPr="004443A9">
        <w:t xml:space="preserve">100 m) ventilated surface layer. Since 1955, the oxygen content of this upper layer has decreased by 44 %. The reasons hypothesized for this decrease are, first, a period of eutrophication from mid 70's to early 90's and, second, a reduction in the ventilation processes, suspected for the recent years. Here we show that the Black Sea convective ventilation regime has been drastically altered by atmospheric warming during the last decade. Since 2008, the prevailing regime is below the range of variability recorded since 1955, and is characterized by consecutive years during which the renewal of intermediate waters does not occur. Oxygen records from the last decade indicate a clear relationship between cold water formation events and oxygenation status at different pycnal levels, suggesting a leading role of </w:t>
      </w:r>
      <w:r w:rsidRPr="004443A9">
        <w:lastRenderedPageBreak/>
        <w:t>convective ventilation in the oxygen budget of the upper intermediate layers. We thus suggest that this regime shift has a significant impact on the oxygenation structure of the Black Sea and on its biogeochemical balance.</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Caro González, L.D., Filho, J.G.M., Mastalerz, M., </w:t>
      </w:r>
      <w:r w:rsidR="00616347">
        <w:t xml:space="preserve">2020. </w:t>
      </w:r>
      <w:r w:rsidRPr="004443A9">
        <w:t>Depositional environment and maturity of Devonian Pimenteira Formation in the São Luís Basin, Brazil. International Journal of Coal Geology 221, 103429.</w:t>
      </w:r>
    </w:p>
    <w:p w:rsidR="00DB42FE" w:rsidRPr="004443A9" w:rsidRDefault="00DB42FE" w:rsidP="00616347">
      <w:pPr>
        <w:pStyle w:val="EndNoteBibliography"/>
        <w:ind w:left="360"/>
      </w:pPr>
      <w:r w:rsidRPr="004443A9">
        <w:t>http://www.sciencedirect.com/science/article/pii/S0166516219311978</w:t>
      </w:r>
    </w:p>
    <w:p w:rsidR="00DB42FE" w:rsidRPr="004443A9" w:rsidRDefault="00DB42FE" w:rsidP="00616347">
      <w:pPr>
        <w:pStyle w:val="EndNoteBibliography"/>
        <w:spacing w:after="0"/>
        <w:ind w:left="360"/>
      </w:pPr>
      <w:r w:rsidRPr="004443A9">
        <w:t>We carried out a detailed organic facies study on shale cutting samples from the Devonian Pimenteira Formation in the São Luís Basin, northwest Brazil, to reconstruct the depositional paleoenvironment and origin of the organic matter. Samples were collected from the stratigraphic well 2-ANP-5-MA and were analyzed for total organic carbon (TOC), total sulfur (%S), insoluble residue (RI), spore coloration index (SCI), vitrinite reflectance (%R</w:t>
      </w:r>
      <w:r w:rsidRPr="004443A9">
        <w:rPr>
          <w:vertAlign w:val="subscript"/>
        </w:rPr>
        <w:t>o</w:t>
      </w:r>
      <w:r w:rsidRPr="004443A9">
        <w:t>), palynofacies, and biomarkers. The TOC values of the analyzed sediments range from 0.19 to 0.51%, %S from 0.17 to 0.85%, and the total carbonate (CaCo3) is low (&lt;15%); SCI ranges from 4.0 to 5.0, %R</w:t>
      </w:r>
      <w:r w:rsidRPr="004443A9">
        <w:rPr>
          <w:vertAlign w:val="subscript"/>
        </w:rPr>
        <w:t>o</w:t>
      </w:r>
      <w:r w:rsidRPr="004443A9">
        <w:t xml:space="preserve"> from 0.45 to 0.47%, and chitinozoan reflectance from 0.42 to 0.51%. The prasinophyte algae content exhibits a strong correlation (r</w:t>
      </w:r>
      <w:r w:rsidRPr="004443A9">
        <w:rPr>
          <w:vertAlign w:val="superscript"/>
        </w:rPr>
        <w:t>2</w:t>
      </w:r>
      <w:r w:rsidRPr="004443A9">
        <w:t xml:space="preserve"> = 0.73) with the TOC content; this suggests that this organic component is the main factor controlling TOC and that variations in prasinophyte content could reflect changes in the sea level associated with marine transgressions and regressions. Two types of palynofacies (PI—phytoclasts, amorphous organic matter [AOM], and spongiophyton-dominated—and PII—palynomorphs and zoomorphs-dominated) were identified. PI is characterized by a palynomorph association dominantly composed of marine palynomorphs like acritarchs and prasinophytes, whereas PII is characterized by phytoclasts and an association with AOM. Chitinozoan, conodonts and spongiophyton are common throughout this sedimentary sequence. The TOC (wt%) vs %S relationship indicates that the organic matter is dominantly marine but has some freshwater influence. The ternary graph including AOM, phytoclasts, and palynomorphs+zoomorphs suggests a depositional environment ranging from oxic proximal shelf to dysoxic proximal-distal shelf with deltaic influence. The presence of marine microplankton and land plants was corroborated by the distribution of the steranes components (C</w:t>
      </w:r>
      <w:r w:rsidRPr="004443A9">
        <w:rPr>
          <w:vertAlign w:val="subscript"/>
        </w:rPr>
        <w:t>27</w:t>
      </w:r>
      <w:r w:rsidRPr="004443A9">
        <w:t>, C</w:t>
      </w:r>
      <w:r w:rsidRPr="004443A9">
        <w:rPr>
          <w:vertAlign w:val="subscript"/>
        </w:rPr>
        <w:t>28</w:t>
      </w:r>
      <w:r w:rsidRPr="004443A9">
        <w:t>, and C</w:t>
      </w:r>
      <w:r w:rsidRPr="004443A9">
        <w:rPr>
          <w:vertAlign w:val="subscript"/>
        </w:rPr>
        <w:t>29</w:t>
      </w:r>
      <w:r w:rsidRPr="004443A9">
        <w:t>). The thermal maturity indicators, including %R</w:t>
      </w:r>
      <w:r w:rsidRPr="004443A9">
        <w:rPr>
          <w:vertAlign w:val="subscript"/>
        </w:rPr>
        <w:t>o</w:t>
      </w:r>
      <w:r w:rsidRPr="004443A9">
        <w:t>, chitinozoan reflectance, SCI, Ts/(Ts + Tm) ratios, and C</w:t>
      </w:r>
      <w:r w:rsidRPr="004443A9">
        <w:rPr>
          <w:vertAlign w:val="subscript"/>
        </w:rPr>
        <w:t>29</w:t>
      </w:r>
      <w:r w:rsidRPr="004443A9">
        <w:t xml:space="preserve"> 20S/(20S + 20R) and C</w:t>
      </w:r>
      <w:r w:rsidRPr="004443A9">
        <w:rPr>
          <w:vertAlign w:val="subscript"/>
        </w:rPr>
        <w:t>29</w:t>
      </w:r>
      <w:r w:rsidRPr="004443A9">
        <w:t xml:space="preserve"> ββ/(αα + ββ), indicate that the organic matter is immature.</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Carrizo, D., Muñoz-Iglesias, V., Fernández-Sampedro, M.T., Gil-Lozano, C., Sánchez-García, L., Prieto-Ballesteros, O., Medina, J., Rull, F., </w:t>
      </w:r>
      <w:r w:rsidR="00616347">
        <w:t xml:space="preserve">2020. </w:t>
      </w:r>
      <w:r w:rsidRPr="004443A9">
        <w:t>Detection of potential lipid biomarkers in oxidative environments by Raman spectroscopy and implications for the ExoMars 2020-Raman laser spectrometer instrument performance. Astrobiology 20, 405-414.</w:t>
      </w:r>
    </w:p>
    <w:p w:rsidR="00DB42FE" w:rsidRPr="004443A9" w:rsidRDefault="00DB42FE" w:rsidP="00616347">
      <w:pPr>
        <w:pStyle w:val="EndNoteBibliography"/>
        <w:ind w:left="360"/>
      </w:pPr>
      <w:r w:rsidRPr="004443A9">
        <w:t>https://doi.org/10.1089/ast.2019.2100</w:t>
      </w:r>
    </w:p>
    <w:p w:rsidR="00DB42FE" w:rsidRPr="004443A9" w:rsidRDefault="00DB42FE" w:rsidP="00616347">
      <w:pPr>
        <w:pStyle w:val="EndNoteBibliography"/>
        <w:spacing w:after="0"/>
        <w:ind w:left="360"/>
      </w:pPr>
      <w:r w:rsidRPr="004443A9">
        <w:t xml:space="preserve">The aim of the European Space Agency's ExoMars rover mission is to search for potential traces of present or past life in the swallow subsurface (2 m depth) of Mars. The ExoMars rover mission relies on a suite of analytical instruments envisioned to identify organic compounds with biological value (biomarkers) associated with a mineralogical matrix in a highly oxidative environment. We investigated the feasibility of detecting basic organics (linear and branched lipid molecules) with Raman laser spectroscopy, an instrument onboard the ExoMars rover, when exposed to oxidant </w:t>
      </w:r>
      <w:r w:rsidRPr="004443A9">
        <w:lastRenderedPageBreak/>
        <w:t xml:space="preserve">conditions. We compared the detectability of six lipid molecules (alkanes, alkanols, fatty acid, and isoprenoid) before and after an oxidation treatment (15 days with hydrogen peroxide), with and without mineral matrix support (amorphous silica rich vs. iron rich). Raman and infrared spectrometry was combined with gas chromatography–mass spectrometry to determine detection limits and technical constraints. We observed different spectral responses to degradation depending on the lipid molecule and mineral substrate, with the silica-rich material showing better preservation of organic signals. These findings will contribute to the interpretation of Raman laser spectroscopy results on cores from the ExoMars rover landing site, the hydrated silica-enriched delta fan on Cogoon Vallis (Oxia Planum). </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Casoli, A., Volpin, S., </w:t>
      </w:r>
      <w:r w:rsidR="00616347">
        <w:t xml:space="preserve">2020. </w:t>
      </w:r>
      <w:r w:rsidRPr="004443A9">
        <w:t>Materials and paint technique of a special masterpiece: Jacopo Tintoretto’s</w:t>
      </w:r>
      <w:r w:rsidRPr="004443A9">
        <w:rPr>
          <w:i/>
        </w:rPr>
        <w:t xml:space="preserve"> The wedding Feast at Cana in Venice</w:t>
      </w:r>
      <w:r w:rsidRPr="004443A9">
        <w:t>. International Journal of Conservation Science 11, 3-14.</w:t>
      </w:r>
    </w:p>
    <w:p w:rsidR="00DB42FE" w:rsidRPr="004443A9" w:rsidRDefault="00DB42FE" w:rsidP="00616347">
      <w:pPr>
        <w:pStyle w:val="EndNoteBibliography"/>
        <w:ind w:left="360"/>
      </w:pPr>
      <w:r w:rsidRPr="004443A9">
        <w:t>http://www.ijcs.uaic.ro/volume_11.html#Issue1</w:t>
      </w:r>
    </w:p>
    <w:p w:rsidR="00DB42FE" w:rsidRPr="004443A9" w:rsidRDefault="00DB42FE" w:rsidP="00616347">
      <w:pPr>
        <w:pStyle w:val="EndNoteBibliography"/>
        <w:spacing w:after="0"/>
        <w:ind w:left="360"/>
      </w:pPr>
      <w:r w:rsidRPr="004443A9">
        <w:t>The present paper illustrates the results of the scientific investigation performed on the painting on canvas The Wedding Feast at Cana (1561) by Jacopo Robusti, nicknamed Tintoretto. The painting, commissioned for the refectory of the Crociferi’s Convent of, is located in the Sacristy of the Basilica della Madonna della Salute in Venice, after the dissolution of the congregation. Noninvasive single spot technique (X-ray fluorescence), and analytical investigations (optical microscopy, scanning electron microscopy with energy dispersive spectroscopy, and gas chromatography coupled with mass spectrometry) on ten micro-samples were combined to retrieve the palette and identifying the organic binding media. The investigations revealed the existence of many pigments available at that time in Venice, among which is the precious lapis lazuli. The identification of two pigments, one white and one blue, allowed to know the possible time of execution of the two angles, added at the top. The study of the painting has made it possible to know completely unexpected aspects: the painting does not present the traditional ground of gypsum and animal glue, but it turns out to be complete without the preparatory layer. This painting is described by art historians as an “oil on canvas”; however, GC/MS did not identify any fatty acids of siccative oil, but only egg, presumably yolk, then The Wedding Feast at Cana was made in tempera.</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Cassady, S.J., Choudhary, R., Pinkowski, N.H., Shao, J., Davidson, D.F., Hanson, R.K., </w:t>
      </w:r>
      <w:r w:rsidR="00616347">
        <w:t xml:space="preserve">2020. </w:t>
      </w:r>
      <w:r w:rsidRPr="004443A9">
        <w:t>The thermal decomposition of ethane. Fuel 268, 117409.</w:t>
      </w:r>
    </w:p>
    <w:p w:rsidR="00DB42FE" w:rsidRPr="004443A9" w:rsidRDefault="00DB42FE" w:rsidP="00616347">
      <w:pPr>
        <w:pStyle w:val="EndNoteBibliography"/>
        <w:ind w:left="360"/>
      </w:pPr>
      <w:r w:rsidRPr="004443A9">
        <w:t>http://www.sciencedirect.com/science/article/pii/S001623612030404X</w:t>
      </w:r>
    </w:p>
    <w:p w:rsidR="00DB42FE" w:rsidRPr="004443A9" w:rsidRDefault="00DB42FE" w:rsidP="00616347">
      <w:pPr>
        <w:pStyle w:val="EndNoteBibliography"/>
        <w:spacing w:after="0"/>
        <w:ind w:left="360"/>
      </w:pPr>
      <w:r w:rsidRPr="004443A9">
        <w:t>Ethane pyrolysis chemistry plays a critical role in the combustion behavior of natural gas and gives insight into the decomposition patterns of larger alkanes. In this work, ethane pyrolysis was studied behind reflected shock waves with a convex optimization-based laser absorption speciation technique. Species time-histories of ethane, ethylene, methane, and acetylene were quantified in the decomposition of 1% and 2% ethane in argon at conditions between 1178 and 1527 K and 3.1–4.2 atm. Six laser wavelengths, simultaneously probing sensitive regions of each species’ spectra, enabled the sensitive detection of all major pyrolysis products and confirmed the negligible formation of other species. The time-history data presented in this work paint a coherent picture of ethane decomposition that motivates specific refinements to state-of-the-art detailed kinetic models.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lastRenderedPageBreak/>
        <w:t xml:space="preserve">Castledine, M., Sierocinski, P., Padfield, D., Buckling, A., </w:t>
      </w:r>
      <w:r w:rsidR="00616347">
        <w:t xml:space="preserve">2020. </w:t>
      </w:r>
      <w:r w:rsidRPr="004443A9">
        <w:t>Community coalescence: an eco-evolutionary perspective. Philosophical Transactions of the Royal Society B: Biological Sciences 375, 20190252.</w:t>
      </w:r>
    </w:p>
    <w:p w:rsidR="00DB42FE" w:rsidRPr="004443A9" w:rsidRDefault="00DB42FE" w:rsidP="00616347">
      <w:pPr>
        <w:pStyle w:val="EndNoteBibliography"/>
        <w:ind w:left="360"/>
      </w:pPr>
      <w:r w:rsidRPr="004443A9">
        <w:t>https://doi.org/10.1098/rstb.2019.0252</w:t>
      </w:r>
    </w:p>
    <w:p w:rsidR="00DB42FE" w:rsidRPr="004443A9" w:rsidRDefault="00DB42FE" w:rsidP="00616347">
      <w:pPr>
        <w:pStyle w:val="EndNoteBibliography"/>
        <w:spacing w:after="0"/>
        <w:ind w:left="360"/>
      </w:pPr>
      <w:r w:rsidRPr="004443A9">
        <w:t>Community coalescence, the mixing of different communities, is widespread throughout microbial ecology. Coalescence can result in approximately equal contributions from the founding communities or dominance of one community over another. These different outcomes have ramifications for community structure and function in natural communities, and the use of microbial communities in biotechnology and medicine. However, we have little understanding of when a particular outcome might be expected. Here, we integrate existing theory and data to speculate on how a crucial characteristic of microbial communities—the type of species interaction that dominates the community—might affect the outcome of microbial community coalescence. Given the often comparable timescales of microbial ecology and microevolution, we explicitly consider ecological and evolutionary dynamics, and their interplay, in determining coalescence outcomes.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Catling, D.C., Zahnle, K.J., </w:t>
      </w:r>
      <w:r w:rsidR="00616347">
        <w:t xml:space="preserve">2020. </w:t>
      </w:r>
      <w:r w:rsidRPr="004443A9">
        <w:t>The Archean atmosphere. Science Advances 6, eaax1420.</w:t>
      </w:r>
    </w:p>
    <w:p w:rsidR="00DB42FE" w:rsidRPr="004443A9" w:rsidRDefault="00DB42FE" w:rsidP="00616347">
      <w:pPr>
        <w:pStyle w:val="EndNoteBibliography"/>
        <w:ind w:left="360"/>
      </w:pPr>
      <w:r w:rsidRPr="004443A9">
        <w:t>http://advances.sciencemag.org/content/6/9/eaax1420.abstract</w:t>
      </w:r>
    </w:p>
    <w:p w:rsidR="00DB42FE" w:rsidRPr="004443A9" w:rsidRDefault="00DB42FE" w:rsidP="00616347">
      <w:pPr>
        <w:pStyle w:val="EndNoteBibliography"/>
        <w:spacing w:after="0"/>
        <w:ind w:left="360"/>
      </w:pPr>
      <w:r w:rsidRPr="004443A9">
        <w:t>The atmosphere of the Archean eon—one-third of Earth’s history—is important for understanding the evolution of our planet and Earth-like exoplanets. New geological proxies combined with models constrain atmospheric composition. They imply surface O</w:t>
      </w:r>
      <w:r w:rsidRPr="004443A9">
        <w:rPr>
          <w:vertAlign w:val="subscript"/>
        </w:rPr>
        <w:t>2</w:t>
      </w:r>
      <w:r w:rsidRPr="004443A9">
        <w:t xml:space="preserve"> levels &lt;10</w:t>
      </w:r>
      <w:r w:rsidRPr="004443A9">
        <w:rPr>
          <w:vertAlign w:val="superscript"/>
        </w:rPr>
        <w:t>−6</w:t>
      </w:r>
      <w:r w:rsidRPr="004443A9">
        <w:t xml:space="preserve"> times present, N</w:t>
      </w:r>
      <w:r w:rsidRPr="004443A9">
        <w:rPr>
          <w:vertAlign w:val="subscript"/>
        </w:rPr>
        <w:t>2</w:t>
      </w:r>
      <w:r w:rsidRPr="004443A9">
        <w:t xml:space="preserve"> levels that were similar to today or possibly a few times lower, and CO</w:t>
      </w:r>
      <w:r w:rsidRPr="004443A9">
        <w:rPr>
          <w:vertAlign w:val="subscript"/>
        </w:rPr>
        <w:t>2</w:t>
      </w:r>
      <w:r w:rsidRPr="004443A9">
        <w:t xml:space="preserve"> and CH</w:t>
      </w:r>
      <w:r w:rsidRPr="004443A9">
        <w:rPr>
          <w:vertAlign w:val="subscript"/>
        </w:rPr>
        <w:t>4</w:t>
      </w:r>
      <w:r w:rsidRPr="004443A9">
        <w:t xml:space="preserve"> levels ranging ~10 to 2500 and 10</w:t>
      </w:r>
      <w:r w:rsidRPr="004443A9">
        <w:rPr>
          <w:vertAlign w:val="superscript"/>
        </w:rPr>
        <w:t>2</w:t>
      </w:r>
      <w:r w:rsidRPr="004443A9">
        <w:t xml:space="preserve"> to 10</w:t>
      </w:r>
      <w:r w:rsidRPr="004443A9">
        <w:rPr>
          <w:vertAlign w:val="superscript"/>
        </w:rPr>
        <w:t>4</w:t>
      </w:r>
      <w:r w:rsidRPr="004443A9">
        <w:t xml:space="preserve"> times modern amounts, respectively. The greenhouse gas concentrations were sufficient to offset a fainter Sun. Climate moderation by the carbon cycle suggests average surface temperatures between 0° and 40°C, consistent with occasional glaciations. Isotopic mass fractionation of atmospheric xenon through the Archean until atmospheric oxygenation is best explained by drag of xenon ions by hydrogen escaping rapidly into space. These data imply that substantial loss of hydrogen oxidized the Earth. Despite these advances, detailed understanding of the coevolving solid Earth, biosphere, and atmosphere remains elusive, however.</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Chacón-Patiño, M.L., Smith, D.F., Hendrickson, C.L., Marshall, A.G., Rodgers, R.P., </w:t>
      </w:r>
      <w:r w:rsidR="00616347">
        <w:t xml:space="preserve">2020. </w:t>
      </w:r>
      <w:r w:rsidRPr="004443A9">
        <w:t>Advances in asphaltene petroleomics. Part 4. Compositional trends of solubility subfractions reveal that polyfunctional oxygen-containing compounds drive asphaltene chemistry. Energy &amp; Fuels 34, 3013-3030.</w:t>
      </w:r>
    </w:p>
    <w:p w:rsidR="00DB42FE" w:rsidRPr="004443A9" w:rsidRDefault="00DB42FE" w:rsidP="00616347">
      <w:pPr>
        <w:pStyle w:val="EndNoteBibliography"/>
        <w:ind w:left="360"/>
      </w:pPr>
      <w:r w:rsidRPr="004443A9">
        <w:t>https://doi.org/10.1021/acs.energyfuels.9b04288</w:t>
      </w:r>
    </w:p>
    <w:p w:rsidR="00DB42FE" w:rsidRPr="004443A9" w:rsidRDefault="00DB42FE" w:rsidP="00616347">
      <w:pPr>
        <w:pStyle w:val="EndNoteBibliography"/>
        <w:spacing w:after="0"/>
        <w:ind w:left="360"/>
      </w:pPr>
      <w:r w:rsidRPr="004443A9">
        <w:t xml:space="preserve">Asphaltenes have traditionally been conceived as highly aromatic, alkyl-deficient compounds enriched in pericondensed aromatic “island” motifs. This structural definition evolved into the general notion that aromatic core-dominated interactions (π-stacking) drive asphaltene aggregation, and heteroatom-based intermolecular forces have no significant effect on the overall solubility and aggregation behavior. However, the exclusion of heteroatoms in asphaltene chemistry is inconsistent with the Boduszynski continuum and known asphaltene properties, such as increased heteroatom content relative to maltenes, interfacial activity, and strong adsorption to polar stationary phases. Thus, to determine whether or not heteroatoms are involved in solubility, we </w:t>
      </w:r>
      <w:r w:rsidRPr="004443A9">
        <w:lastRenderedPageBreak/>
        <w:t xml:space="preserve">have separated asphaltene fractions enriched in single-core (island) or multicore motifs (archipelago) according to their partitioning in </w:t>
      </w:r>
      <w:r w:rsidRPr="004443A9">
        <w:rPr>
          <w:i/>
        </w:rPr>
        <w:t>n</w:t>
      </w:r>
      <w:r w:rsidRPr="004443A9">
        <w:t xml:space="preserve">-heptane by two fractionation methods. In the first separation procedure, the acetone fraction from Wyoming deposit </w:t>
      </w:r>
      <w:r w:rsidRPr="004443A9">
        <w:rPr>
          <w:i/>
        </w:rPr>
        <w:t>n</w:t>
      </w:r>
      <w:r w:rsidRPr="004443A9">
        <w:t xml:space="preserve">-heptane asphaltenes (island-enriched) was adsorbed on polytetrafluoroethylene powder and Soxhlet extracted with </w:t>
      </w:r>
      <w:r w:rsidRPr="004443A9">
        <w:rPr>
          <w:i/>
        </w:rPr>
        <w:t>n</w:t>
      </w:r>
      <w:r w:rsidRPr="004443A9">
        <w:t xml:space="preserve">-heptane. Subfractions were collected after one day, one week, one month, and three months of extraction, and the residue, </w:t>
      </w:r>
      <w:r w:rsidRPr="004443A9">
        <w:rPr>
          <w:i/>
        </w:rPr>
        <w:t>n</w:t>
      </w:r>
      <w:r w:rsidRPr="004443A9">
        <w:t xml:space="preserve">-heptane insoluble material, was recovered with a mixture of toluene and dichloromethane. In the second method, the acetone fraction from Athabasca bitumen </w:t>
      </w:r>
      <w:r w:rsidRPr="004443A9">
        <w:rPr>
          <w:i/>
        </w:rPr>
        <w:t>n</w:t>
      </w:r>
      <w:r w:rsidRPr="004443A9">
        <w:t xml:space="preserve">-heptane asphaltenes (archipelago-enriched) was fractionated by differential precipitation in mixtures of </w:t>
      </w:r>
      <w:r w:rsidRPr="004443A9">
        <w:rPr>
          <w:i/>
        </w:rPr>
        <w:t>n</w:t>
      </w:r>
      <w:r w:rsidRPr="004443A9">
        <w:t>-heptane and toluene. The molecular composition of the asphaltene subfractions was accessed by positive-ion atmospheric pressure photoionization coupled to 9.4 T Fourier transform ion cyclotron resonance mass spectrometry and structures were determined by infrared multiphoton dissociation. The compositional trends for heteroatom content, double bond equivalents, and alkyl substitution suggest that the Boduszynski continuum can be extended to asphaltenes. In particular, the compositional range of polyoxygenated asphaltene compounds shifts toward lower aromaticity, whereas oxygen-depleted species are more aromatic. Moreover, the results demonstrate that polyoxygenated species (e.g., O</w:t>
      </w:r>
      <w:r w:rsidRPr="004443A9">
        <w:rPr>
          <w:vertAlign w:val="subscript"/>
        </w:rPr>
        <w:t>3</w:t>
      </w:r>
      <w:r w:rsidRPr="004443A9">
        <w:t xml:space="preserve"> and S</w:t>
      </w:r>
      <w:r w:rsidRPr="004443A9">
        <w:rPr>
          <w:vertAlign w:val="subscript"/>
        </w:rPr>
        <w:t>2</w:t>
      </w:r>
      <w:r w:rsidRPr="004443A9">
        <w:t>O</w:t>
      </w:r>
      <w:r w:rsidRPr="004443A9">
        <w:rPr>
          <w:vertAlign w:val="subscript"/>
        </w:rPr>
        <w:t>3</w:t>
      </w:r>
      <w:r w:rsidRPr="004443A9">
        <w:t xml:space="preserve"> classes) are pivotal in asphaltene solubility, as they concentrate in the most polarizable and insoluble asphaltene subfractions. Therefore, the results support the existence of atypical asphaltene species with remarkably low aromaticity that reside in the most insoluble asphaltene subfractions because of their high heteroatom content. Such asphaltene compounds preferentially ionize as protonated molecules rather than radical cations and overlap the compositional range of interfacially active species, consistent with their tendency to participate in hydrogen bonding. Collectively, the results highlight the need for an asphaltene molecular model based on the existence of polyfunctional species capable of interacting with neighboring asphaltene molecules through several intermolecular forces, including London dispersion forces between aliphatic moieties, π-stacking of aromatic cores, hydrogen bonding between nitrogen and oxygen-containing functionalities, and acid/base interactions between carboxylic acids and pyridine rings.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Chang, X., Huang, Y., Chen, Z., Hou, M., </w:t>
      </w:r>
      <w:r w:rsidR="00616347">
        <w:t xml:space="preserve">2020. </w:t>
      </w:r>
      <w:r w:rsidRPr="004443A9">
        <w:t>The microscopic analysis of pyrite framboids and application in paleo-oceanography. Acta Sedimentologica Sinica 38, 150-165.</w:t>
      </w:r>
    </w:p>
    <w:p w:rsidR="00DB42FE" w:rsidRPr="004443A9" w:rsidRDefault="00DB42FE" w:rsidP="00616347">
      <w:pPr>
        <w:pStyle w:val="EndNoteBibliography"/>
        <w:ind w:left="360"/>
      </w:pPr>
      <w:r w:rsidRPr="004443A9">
        <w:t>http://www.cjxb.ac.cn/EN/abstract/abstract4079.shtml</w:t>
      </w:r>
    </w:p>
    <w:p w:rsidR="00DB42FE" w:rsidRPr="004443A9" w:rsidRDefault="00DB42FE" w:rsidP="00616347">
      <w:pPr>
        <w:pStyle w:val="EndNoteBibliography"/>
        <w:spacing w:after="0"/>
        <w:ind w:left="360"/>
      </w:pPr>
      <w:r w:rsidRPr="004443A9">
        <w:t>Pyrite framboids are defined as microscopic spheroidal to sub-spheroidal clusters of equidimensional and equimorphic pyrite microcrystals. The size distribution of pyrite framboids has been widely used as a promising tool for reconstructing the redox conditions of geological periods. Summarizing the formation mechanism,paleo-oceanographic implications,discrimination standard,and experimental methods using pyrite framboids might help to understand why they play such an important role. The formation mechanism of pyrite framboids differs in oxic and euxinic conditions. Their size,abundance and distribution range are all important proxies in inferring the oxygen levels of the water column. The microcrystal geometries and morphological characteristics are closely related to the redox condition of the paleo-ocean in the deposition process. Furthermore,although one or two unknown problems may yet be present in the method,their potential effect may be offset by using additional effective methods(e.g.,sedimentary microfacies analysis,paleocommunity reconstruction,and specific geochemical indices)to analyze the redox condition and to recognize unusual settings. The validity of the oxidized pyrite framboid in reconstructing the redox conditions of paleo-ocean has been evaluated. The results show that the oxidation of pyrite has little effect on redox interpretations based on pyrite framboid distributions.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Chang, Y.-W., </w:t>
      </w:r>
      <w:r w:rsidR="00616347">
        <w:t xml:space="preserve">2020. </w:t>
      </w:r>
      <w:r w:rsidRPr="004443A9">
        <w:t>Bacteria suit up with virus armor. Proceedings of the National Academy of Sciences 117, 6297-6299.</w:t>
      </w:r>
    </w:p>
    <w:p w:rsidR="00DB42FE" w:rsidRPr="004443A9" w:rsidRDefault="00DB42FE" w:rsidP="00616347">
      <w:pPr>
        <w:pStyle w:val="EndNoteBibliography"/>
        <w:ind w:left="360"/>
      </w:pPr>
      <w:r w:rsidRPr="004443A9">
        <w:t>http://www.pnas.org/content/117/12/6297.abstract</w:t>
      </w:r>
    </w:p>
    <w:p w:rsidR="00DB42FE" w:rsidRPr="004443A9" w:rsidRDefault="00DB42FE" w:rsidP="00616347">
      <w:pPr>
        <w:pStyle w:val="EndNoteBibliography"/>
        <w:spacing w:after="0"/>
        <w:ind w:left="360"/>
      </w:pPr>
      <w:r w:rsidRPr="004443A9">
        <w:t>Particularly with the recent outbreak of coronavirus disease 2019 (COVID-19), viruses have a bad reputation these days. However, it is important to note that viruses come in many types and can infect not only humans but almost all life forms, and their infections are not always detrimental to the host. Consider viruses that infect bacteria—“bacteriophages,“ or “phages” for short. While most phages do cause the death of their bacterial host during propagation, it has been found that a subgroup, filamentous phages, cooperate with the host to provide “services,“ such as promoting virulence or optimizing the motility of the bacterium for better fitness (1</w:t>
      </w:r>
      <w:r w:rsidRPr="004443A9">
        <w:rPr>
          <w:rFonts w:ascii="Cambria Math" w:hAnsi="Cambria Math" w:cs="Cambria Math"/>
        </w:rPr>
        <w:t>⇓</w:t>
      </w:r>
      <w:r w:rsidRPr="004443A9">
        <w:rPr>
          <w:rFonts w:cs="Calibri"/>
        </w:rPr>
        <w:t>–</w:t>
      </w:r>
      <w:r w:rsidRPr="004443A9">
        <w:t xml:space="preserve">3). The relationship is akin to a facultative symbiosis by which two organisms live together and offer mutual benefits. A study by Tarafder et al. (4) reports a mechanism for this type of cooperation, in which the bacterium </w:t>
      </w:r>
      <w:r w:rsidRPr="004443A9">
        <w:rPr>
          <w:i/>
        </w:rPr>
        <w:t>Pseudomonas aeruginosa</w:t>
      </w:r>
      <w:r w:rsidRPr="004443A9">
        <w:t xml:space="preserve"> can use a filamentous phage it harbors to create a barrier around itself that defends against antibiotics—like wearing special armor made of virus molecules (Fig. 1).  Filamentous phages are characterized by their long and thin shape (</w:t>
      </w:r>
      <w:r w:rsidRPr="004443A9">
        <w:rPr>
          <w:rFonts w:ascii="Cambria Math" w:hAnsi="Cambria Math" w:cs="Cambria Math"/>
        </w:rPr>
        <w:t>∼</w:t>
      </w:r>
      <w:r w:rsidRPr="004443A9">
        <w:t xml:space="preserve">6 nm in diameter and </w:t>
      </w:r>
      <w:r w:rsidRPr="004443A9">
        <w:rPr>
          <w:rFonts w:ascii="Cambria Math" w:hAnsi="Cambria Math" w:cs="Cambria Math"/>
        </w:rPr>
        <w:t>∼</w:t>
      </w:r>
      <w:r w:rsidRPr="004443A9">
        <w:t xml:space="preserve">800 to 4,000 nm in length). The filament is composed of a helically packed capsid protein shell surrounding an extended single-stranded DNA (ssDNA) genome. As they are produced by the host, filamentous phages are assembled at the bacterial cell envelope and exported through dedicated secretion machinery (5). This allows the phage to egress without killing the host, in contrast to most other phages which are assembled in the host cytoplasm and lyse the cell to exit. The unusual lifestyle of filamentous phages … </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Chapel, S., Rouvière, F., Heinisch, S., </w:t>
      </w:r>
      <w:r w:rsidR="00616347">
        <w:t xml:space="preserve">2020. </w:t>
      </w:r>
      <w:r w:rsidRPr="004443A9">
        <w:t>Pushing the limits of resolving power and analysis time in on-line comprehensive hydrophilic interaction x reversed phase liquid chromatography for the analysis of complex peptide samples. Journal of Chromatography A 1615, 460753.</w:t>
      </w:r>
    </w:p>
    <w:p w:rsidR="00DB42FE" w:rsidRPr="004443A9" w:rsidRDefault="00DB42FE" w:rsidP="00616347">
      <w:pPr>
        <w:pStyle w:val="EndNoteBibliography"/>
        <w:ind w:left="360"/>
      </w:pPr>
      <w:r w:rsidRPr="004443A9">
        <w:t>http://www.sciencedirect.com/science/article/pii/S0021967319311987</w:t>
      </w:r>
    </w:p>
    <w:p w:rsidR="00DB42FE" w:rsidRPr="004443A9" w:rsidRDefault="00DB42FE" w:rsidP="00616347">
      <w:pPr>
        <w:pStyle w:val="EndNoteBibliography"/>
        <w:spacing w:after="0"/>
        <w:ind w:left="360"/>
      </w:pPr>
      <w:r w:rsidRPr="004443A9">
        <w:t xml:space="preserve">In the present work, we have investigated the combination of hydrophilic interaction liquid chromatography (HILIC) and reversed phase liquid chromatography (RPLC) for the separation of peptides in on-line HILIC x RPLC. This combination usually leads to significant solvent strength mismatch, since a weak solvent in HILIC becomes a strong solvent in RPLC. This may result in band broadening, peak distortion, and breakthrough phenomena. Our focus was directed towards the reduction of band broadening and peak distortion. The conditions of the emergence of breakthrough could be investigated with high resolution mass spectrometry (HRMS) detection. The importance of both the injection volume and the difference in composition between injection and elution solvents was highlighted. Reported strategies to avoid bad peak shapes mostly rely either on flow splitting to limit the injection volume, or on on-line dilution. Here, we propose an alternative approach which consists in injecting large volumes in the second dimension. In this case, no flow-splitting nor dilution prior to the second dimension is required. Our results show that above a certain critical injected volume, depending on both the compound and the elution conditions, narrow and symmetrical peaks can be obtained, despite the persistence of breakthrough. As a result, the injected volume in the second dimension must be larger than the largest critical volume. This counter-intuitive approach was applied for the on-line HILIC x RPLC-UV-HRMS analysis of a </w:t>
      </w:r>
      <w:r w:rsidRPr="004443A9">
        <w:lastRenderedPageBreak/>
        <w:t>complex tryptic digest sample. A peak capacity close to 1500 could be achieved in 30 min, which is two-fold higher than in RPLC x RPLC within the same analysis time.</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Chauhan, G., de Klerk, A., </w:t>
      </w:r>
      <w:r w:rsidR="00616347">
        <w:t xml:space="preserve">2020. </w:t>
      </w:r>
      <w:r w:rsidRPr="004443A9">
        <w:t>Dissolution methods for the quantification of metals in oil sands bitumen. Energy &amp; Fuels 34, 2870-2879.</w:t>
      </w:r>
    </w:p>
    <w:p w:rsidR="00DB42FE" w:rsidRPr="004443A9" w:rsidRDefault="00DB42FE" w:rsidP="00616347">
      <w:pPr>
        <w:pStyle w:val="EndNoteBibliography"/>
        <w:ind w:left="360"/>
      </w:pPr>
      <w:r w:rsidRPr="004443A9">
        <w:t>https://doi.org/10.1021/acs.energyfuels.9b04065</w:t>
      </w:r>
    </w:p>
    <w:p w:rsidR="00DB42FE" w:rsidRPr="004443A9" w:rsidRDefault="00DB42FE" w:rsidP="00616347">
      <w:pPr>
        <w:pStyle w:val="EndNoteBibliography"/>
        <w:spacing w:after="0"/>
        <w:ind w:left="360"/>
      </w:pPr>
      <w:r w:rsidRPr="004443A9">
        <w:t>Seven different dissolution methods proposed in the literature to prepare oil samples for metal analysis by inductively coupled plasma optical emission spectrometry (ICP-OES) were evaluated for V, Ni, Fe, and Ca analysis of bitumen. The dissolution methods evaluated were direct dilution, dry ashing, sulfated ashing, ultrasound assisted extraction, extraction induced emulsion breaking, detergentless microemulsification, and acid decomposition in closed vessels. The types of bitumen samples evaluated were raw bitumen, bitumen with emulsified water, and diluted bitumen. Only direct dilution and sulfated ashing could be recommended for the dissolution of all types of bitumen samples to quantify V and Ni content. Of these two methods, only sulfated ashing resulted in samples with good storage stability. Typical values for these elements in raw Athabasca bitumen were 224–226 (±14) μg V/g and 94 (±4) μg Ni/g. No firm recommendation about the most appropriate dissolution methods for analysis of Fe and Ca in bitumen could be made, and the values were typically around 10 μg/g or less for both Fe and Ca. When bitumen was stored as diluted bitumen in a toluene solution, it was found that 40–50% of the V-containing species separated from the bulk solution during a 28 day storage period. Over the same storage period &lt;20% of the Ni-containing species separated from the bulk solution. These observations are relevant to bitumen upgrading, and some implications for metal removal from bitumen were discussed.</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Chen, G., Fisch, A.R., Gibson, C.M., Erin Mack, E., Seger, E.S., Campagna, S.R., Löffler, F.E., </w:t>
      </w:r>
      <w:r w:rsidR="00616347">
        <w:t xml:space="preserve">2020. </w:t>
      </w:r>
      <w:r w:rsidRPr="004443A9">
        <w:t>Mineralization versus fermentation: evidence for two distinct anaerobic bacterial degradation pathways for dichloromethane. The ISME Journal 14, 959-970.</w:t>
      </w:r>
    </w:p>
    <w:p w:rsidR="00DB42FE" w:rsidRPr="004443A9" w:rsidRDefault="00DB42FE" w:rsidP="00616347">
      <w:pPr>
        <w:pStyle w:val="EndNoteBibliography"/>
        <w:ind w:left="360"/>
      </w:pPr>
      <w:r w:rsidRPr="004443A9">
        <w:t>https://doi.org/10.1038/s41396-019-0579-5</w:t>
      </w:r>
    </w:p>
    <w:p w:rsidR="00DB42FE" w:rsidRPr="004443A9" w:rsidRDefault="00DB42FE" w:rsidP="00616347">
      <w:pPr>
        <w:pStyle w:val="EndNoteBibliography"/>
        <w:spacing w:after="0"/>
        <w:ind w:left="360"/>
      </w:pPr>
      <w:r w:rsidRPr="004443A9">
        <w:t xml:space="preserve">Dichloromethane (DCM) is an anthropogenic pollutant with ozone destruction potential that is also formed naturally. Under anoxic conditions, fermentation of DCM to acetate and formate has been reported in axenic culture </w:t>
      </w:r>
      <w:r w:rsidRPr="004443A9">
        <w:rPr>
          <w:i/>
        </w:rPr>
        <w:t>Dehalobacterium formicoaceticum</w:t>
      </w:r>
      <w:r w:rsidRPr="004443A9">
        <w:t>, and to acetate, H</w:t>
      </w:r>
      <w:r w:rsidRPr="004443A9">
        <w:rPr>
          <w:vertAlign w:val="subscript"/>
        </w:rPr>
        <w:t>2</w:t>
      </w:r>
      <w:r w:rsidRPr="004443A9">
        <w:t xml:space="preserve"> and CO</w:t>
      </w:r>
      <w:r w:rsidRPr="004443A9">
        <w:rPr>
          <w:vertAlign w:val="subscript"/>
        </w:rPr>
        <w:t>2</w:t>
      </w:r>
      <w:r w:rsidRPr="004443A9">
        <w:t xml:space="preserve"> in mixed culture RM, which harbors the DCM degrader ‘</w:t>
      </w:r>
      <w:r w:rsidRPr="004443A9">
        <w:rPr>
          <w:i/>
        </w:rPr>
        <w:t>Candidatus</w:t>
      </w:r>
      <w:r w:rsidRPr="004443A9">
        <w:t xml:space="preserve"> Dichloromethanomonas elyunquensis’. RM cultures produced 28.1 ± 2.3 μmol of acetate from 155.6 ± 9.3 μmol DCM, far less than the one third (i.e., about 51.9 µmol) predicted based on the assumed fermentation model, and observed in cultures of </w:t>
      </w:r>
      <w:r w:rsidRPr="004443A9">
        <w:rPr>
          <w:i/>
        </w:rPr>
        <w:t>Dehalobacterium formicoaceticum</w:t>
      </w:r>
      <w:r w:rsidRPr="004443A9">
        <w:t xml:space="preserve">. Temporal metabolite analyses using gas chromatography-mass spectrometry (GC-MS) and nuclear magnetic resonance (NMR) spectroscopy revealed that no </w:t>
      </w:r>
      <w:r w:rsidRPr="004443A9">
        <w:rPr>
          <w:vertAlign w:val="superscript"/>
        </w:rPr>
        <w:t>13</w:t>
      </w:r>
      <w:r w:rsidRPr="004443A9">
        <w:t xml:space="preserve">C-labeled acetate was formed in </w:t>
      </w:r>
      <w:r w:rsidRPr="004443A9">
        <w:rPr>
          <w:vertAlign w:val="superscript"/>
        </w:rPr>
        <w:t>13</w:t>
      </w:r>
      <w:r w:rsidRPr="004443A9">
        <w:t>C-DCM-grown RM cultures, indicating acetate was not a direct product of DCM metabolism. The data were reconciled with DCM mineralization and H</w:t>
      </w:r>
      <w:r w:rsidRPr="004443A9">
        <w:rPr>
          <w:vertAlign w:val="subscript"/>
        </w:rPr>
        <w:t>2</w:t>
      </w:r>
      <w:r w:rsidRPr="004443A9">
        <w:t xml:space="preserve"> consumption via CO</w:t>
      </w:r>
      <w:r w:rsidRPr="004443A9">
        <w:rPr>
          <w:vertAlign w:val="subscript"/>
        </w:rPr>
        <w:t>2</w:t>
      </w:r>
      <w:r w:rsidRPr="004443A9">
        <w:t xml:space="preserve"> reduction to acetate and methane by homoacetogenic and methanogenic partner populations, respectively. In contrast, </w:t>
      </w:r>
      <w:r w:rsidRPr="004443A9">
        <w:rPr>
          <w:i/>
        </w:rPr>
        <w:t>Dehalobacterium formicoaceticum</w:t>
      </w:r>
      <w:r w:rsidRPr="004443A9">
        <w:t xml:space="preserve"> produced </w:t>
      </w:r>
      <w:r w:rsidRPr="004443A9">
        <w:rPr>
          <w:vertAlign w:val="superscript"/>
        </w:rPr>
        <w:t>13</w:t>
      </w:r>
      <w:r w:rsidRPr="004443A9">
        <w:t xml:space="preserve">C-labeled acetate and formate from </w:t>
      </w:r>
      <w:r w:rsidRPr="004443A9">
        <w:rPr>
          <w:vertAlign w:val="superscript"/>
        </w:rPr>
        <w:t>13</w:t>
      </w:r>
      <w:r w:rsidRPr="004443A9">
        <w:t>C-DCM, consistent with a fermentation pathway. Free energy change calculations predicted that organisms with the mineralization pathway are the dominant DCM consumers in environments with H</w:t>
      </w:r>
      <w:r w:rsidRPr="004443A9">
        <w:rPr>
          <w:vertAlign w:val="subscript"/>
        </w:rPr>
        <w:t>2</w:t>
      </w:r>
      <w:r w:rsidRPr="004443A9">
        <w:t xml:space="preserve"> &lt;100 ppmv. These findings have implications for </w:t>
      </w:r>
      <w:r w:rsidRPr="004443A9">
        <w:lastRenderedPageBreak/>
        <w:t>carbon and electron flow in environments where DCM is introduced through natural production processes or anthropogenic activities.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Chen, H.-S., Li, X., Zhang, Q.-M., Liu, Y.-S., </w:t>
      </w:r>
      <w:r w:rsidR="00616347">
        <w:t xml:space="preserve">2020. </w:t>
      </w:r>
      <w:r w:rsidRPr="004443A9">
        <w:t>Effects of hot water-based extraction process on the removal of petroleum hydrocarbons from the oil-contaminated soil. Energy &amp; Fuels 34, 3621-3627.</w:t>
      </w:r>
    </w:p>
    <w:p w:rsidR="00DB42FE" w:rsidRPr="004443A9" w:rsidRDefault="00DB42FE" w:rsidP="00616347">
      <w:pPr>
        <w:pStyle w:val="EndNoteBibliography"/>
        <w:ind w:left="360"/>
      </w:pPr>
      <w:r w:rsidRPr="004443A9">
        <w:t>https://doi.org/10.1021/acs.energyfuels.9b04352</w:t>
      </w:r>
    </w:p>
    <w:p w:rsidR="00DB42FE" w:rsidRPr="004443A9" w:rsidRDefault="00DB42FE" w:rsidP="00616347">
      <w:pPr>
        <w:pStyle w:val="EndNoteBibliography"/>
        <w:spacing w:after="0"/>
        <w:ind w:left="360"/>
      </w:pPr>
      <w:r w:rsidRPr="004443A9">
        <w:t>The properties including oil content, density, high viscosity, and corresponding components were analyzed in the samples of the oil-contaminated soil from one country in the Middle East; also, chemical composition of the solids in the oil-contaminated soil was analyzed by using the X-ray deflection structure analysis method. Characterization results of obtained samples showed the similarities of the oil-contaminated soil with the Canadian oil sand, and then the hot water-based extraction technology that is successfully used in commercial oil sand operation in Canada was fine-tuned to be a novel cleaning technology to clean up oil-contaminated soils. Then, the different cleaning agents, cleaning agent dosage, liquid–solid ratio, temperature, stirring rate, and time as the primary parameters that would affect the cleaning effect were all optimized. Under the optimum conditions, the oil removal results demonstrated that oil removal by this technology was very effective; the oil content of the cleaned soils could be reduced to less than 0.3 wt %, which met the treatment and disposal requirements stipulated in GB4284-2018, and the reaction process was theoretically analyzed by a kinetic method. The oil phase obtained by water washing after further solvent purification treatment has a higher recycling value. This study provides a cost-effective way to recover and deal with the oil-contaminated soil from the perspective of economic efficiency and environmental protection.</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Chen, J., Chen, J., Shi, S., Yao, L., Chen, J., Khan, I., Zhang, C., </w:t>
      </w:r>
      <w:r w:rsidR="00616347">
        <w:t xml:space="preserve">2020. </w:t>
      </w:r>
      <w:r w:rsidRPr="004443A9">
        <w:t>The linkage of nitrogen isotopic composition and depositional environment of black mudstones in the Upper Triassic Yanchang Formation, Ordos Basin, northern China. Journal of Asian Earth Sciences 193, 104308.</w:t>
      </w:r>
    </w:p>
    <w:p w:rsidR="00DB42FE" w:rsidRPr="004443A9" w:rsidRDefault="00DB42FE" w:rsidP="00616347">
      <w:pPr>
        <w:pStyle w:val="EndNoteBibliography"/>
        <w:ind w:left="360"/>
      </w:pPr>
      <w:r w:rsidRPr="004443A9">
        <w:t>http://www.sciencedirect.com/science/article/pii/S1367912020300894</w:t>
      </w:r>
    </w:p>
    <w:p w:rsidR="00DB42FE" w:rsidRPr="004443A9" w:rsidRDefault="00DB42FE" w:rsidP="00616347">
      <w:pPr>
        <w:pStyle w:val="EndNoteBibliography"/>
        <w:spacing w:after="0"/>
        <w:ind w:left="360"/>
      </w:pPr>
      <w:r w:rsidRPr="004443A9">
        <w:t>In this study, we report new analyses of stable nitrogen isotopic compositions (δ</w:t>
      </w:r>
      <w:r w:rsidRPr="004443A9">
        <w:rPr>
          <w:vertAlign w:val="superscript"/>
        </w:rPr>
        <w:t>15</w:t>
      </w:r>
      <w:r w:rsidRPr="004443A9">
        <w:t>N) of the black mudstones from the Chang-7 Member of the Upper Triassic Yanchang Formation in the Ordos Basin, China, to examine the possible linkage of such isotopic compositions with the depositional environment. These mudstones were deposited mainly under suboxic bottom water column conditions. The core descriptions and trace element concentrations differ between samples obtained from the Chang-7</w:t>
      </w:r>
      <w:r w:rsidRPr="004443A9">
        <w:rPr>
          <w:vertAlign w:val="subscript"/>
        </w:rPr>
        <w:t>3</w:t>
      </w:r>
      <w:r w:rsidRPr="004443A9">
        <w:t xml:space="preserve"> and Chang-7</w:t>
      </w:r>
      <w:r w:rsidRPr="004443A9">
        <w:rPr>
          <w:vertAlign w:val="subscript"/>
        </w:rPr>
        <w:t>1,2</w:t>
      </w:r>
      <w:r w:rsidRPr="004443A9">
        <w:t xml:space="preserve"> members, situated at the bottom and top of the Chang-7 Member, respectively, such that the depositional condition of the former implies a more reduced water regime. The bulk rock nitrogen isotope (δ</w:t>
      </w:r>
      <w:r w:rsidRPr="004443A9">
        <w:rPr>
          <w:vertAlign w:val="superscript"/>
        </w:rPr>
        <w:t>15</w:t>
      </w:r>
      <w:r w:rsidRPr="004443A9">
        <w:t>N</w:t>
      </w:r>
      <w:r w:rsidRPr="004443A9">
        <w:rPr>
          <w:vertAlign w:val="subscript"/>
        </w:rPr>
        <w:t>bulk</w:t>
      </w:r>
      <w:r w:rsidRPr="004443A9">
        <w:t>) values of the samples obtained from the Chang-7</w:t>
      </w:r>
      <w:r w:rsidRPr="004443A9">
        <w:rPr>
          <w:vertAlign w:val="subscript"/>
        </w:rPr>
        <w:t>3</w:t>
      </w:r>
      <w:r w:rsidRPr="004443A9">
        <w:t xml:space="preserve"> Member are higher than those of the Chang-7</w:t>
      </w:r>
      <w:r w:rsidRPr="004443A9">
        <w:rPr>
          <w:vertAlign w:val="subscript"/>
        </w:rPr>
        <w:t>1,2</w:t>
      </w:r>
      <w:r w:rsidRPr="004443A9">
        <w:t xml:space="preserve"> Member. No significant differences were identified in the organic carbon isotopes (δ</w:t>
      </w:r>
      <w:r w:rsidRPr="004443A9">
        <w:rPr>
          <w:vertAlign w:val="superscript"/>
        </w:rPr>
        <w:t>13</w:t>
      </w:r>
      <w:r w:rsidRPr="004443A9">
        <w:t>C</w:t>
      </w:r>
      <w:r w:rsidRPr="004443A9">
        <w:rPr>
          <w:vertAlign w:val="subscript"/>
        </w:rPr>
        <w:t>org</w:t>
      </w:r>
      <w:r w:rsidRPr="004443A9">
        <w:t>), total organic carbon (TOC), or total nitrogen (TN) values between the two units. The results of δ</w:t>
      </w:r>
      <w:r w:rsidRPr="004443A9">
        <w:rPr>
          <w:vertAlign w:val="superscript"/>
        </w:rPr>
        <w:t>15</w:t>
      </w:r>
      <w:r w:rsidRPr="004443A9">
        <w:t>N</w:t>
      </w:r>
      <w:r w:rsidRPr="004443A9">
        <w:rPr>
          <w:vertAlign w:val="subscript"/>
        </w:rPr>
        <w:t>bulk</w:t>
      </w:r>
      <w:r w:rsidRPr="004443A9">
        <w:t xml:space="preserve"> cross-plotting with the TOC, TN, and carbon to nitrogen atomic ratio (C/N) show an absence of significant modification of the primary nitrogen isotopic compositions from post-depositional processes. Given the depositional history of these units, we suggest that the sedimentary redox environment can have a significant influence on δ</w:t>
      </w:r>
      <w:r w:rsidRPr="004443A9">
        <w:rPr>
          <w:vertAlign w:val="superscript"/>
        </w:rPr>
        <w:t>15</w:t>
      </w:r>
      <w:r w:rsidRPr="004443A9">
        <w:t>N</w:t>
      </w:r>
      <w:r w:rsidRPr="004443A9">
        <w:rPr>
          <w:vertAlign w:val="subscript"/>
        </w:rPr>
        <w:t>bulk</w:t>
      </w:r>
      <w:r w:rsidRPr="004443A9">
        <w:t xml:space="preserve">. Denitrification, which occurs mainly in suboxic conditions, plays an important role in such an environment, resulting in </w:t>
      </w:r>
      <w:r w:rsidRPr="004443A9">
        <w:rPr>
          <w:vertAlign w:val="superscript"/>
        </w:rPr>
        <w:t>15</w:t>
      </w:r>
      <w:r w:rsidRPr="004443A9">
        <w:t xml:space="preserve">N enrichment during the original deposition. Thus, owing to its sensitivity </w:t>
      </w:r>
      <w:r w:rsidRPr="004443A9">
        <w:lastRenderedPageBreak/>
        <w:t>to sedimentary redox environments, the δ</w:t>
      </w:r>
      <w:r w:rsidRPr="004443A9">
        <w:rPr>
          <w:vertAlign w:val="superscript"/>
        </w:rPr>
        <w:t>15</w:t>
      </w:r>
      <w:r w:rsidRPr="004443A9">
        <w:t>N</w:t>
      </w:r>
      <w:r w:rsidRPr="004443A9">
        <w:rPr>
          <w:vertAlign w:val="subscript"/>
        </w:rPr>
        <w:t>bulk</w:t>
      </w:r>
      <w:r w:rsidRPr="004443A9">
        <w:t xml:space="preserve"> index can be an effective tool for evaluating depositional redox conditions, particularly for further subdivision of suboxic environments.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Chen, M., Zeng, C., Zhang, F., Kang, S., Li, C., </w:t>
      </w:r>
      <w:r w:rsidR="00616347">
        <w:t xml:space="preserve">2020. </w:t>
      </w:r>
      <w:r w:rsidRPr="004443A9">
        <w:t>Characteristics of dissolved organic matter from a transboundary Himalayan watershed: Relationships with land use, elevation, and hydrology. ACS Earth and Space Chemistry 4, 449-456.</w:t>
      </w:r>
    </w:p>
    <w:p w:rsidR="00DB42FE" w:rsidRPr="004443A9" w:rsidRDefault="00DB42FE" w:rsidP="00616347">
      <w:pPr>
        <w:pStyle w:val="EndNoteBibliography"/>
        <w:ind w:left="360"/>
      </w:pPr>
      <w:r w:rsidRPr="004443A9">
        <w:t>https://doi.org/10.1021/acsearthspacechem.9b00329</w:t>
      </w:r>
    </w:p>
    <w:p w:rsidR="00DB42FE" w:rsidRPr="004443A9" w:rsidRDefault="00DB42FE" w:rsidP="00616347">
      <w:pPr>
        <w:pStyle w:val="EndNoteBibliography"/>
        <w:spacing w:after="0"/>
        <w:ind w:left="360"/>
      </w:pPr>
      <w:r w:rsidRPr="004443A9">
        <w:t>Himalayan rivers play pivotal roles in regional water and food supplies, global sediments, and carbon budgets. We studied a transboundary mountainous Kosi River in the Himalayas by utilizing ultraviolet–visible spectroscopy and excitation–emission matrix coupled with parallel factor analysis. We have found that agricultural land use promoted the production of abundant proteinlike fluorescence in the surface waters [</w:t>
      </w:r>
      <w:r w:rsidRPr="004443A9">
        <w:rPr>
          <w:rFonts w:ascii="Cambria Math" w:hAnsi="Cambria Math" w:cs="Cambria Math"/>
        </w:rPr>
        <w:t>∼</w:t>
      </w:r>
      <w:r w:rsidRPr="004443A9">
        <w:t>1.1</w:t>
      </w:r>
      <w:r w:rsidRPr="004443A9">
        <w:rPr>
          <w:rFonts w:cs="Calibri"/>
        </w:rPr>
        <w:t>–</w:t>
      </w:r>
      <w:r w:rsidRPr="004443A9">
        <w:t xml:space="preserve">1.8 Raman unit (RU) for two proteinlike components that accounts for </w:t>
      </w:r>
      <w:r w:rsidRPr="004443A9">
        <w:rPr>
          <w:rFonts w:cs="Calibri"/>
        </w:rPr>
        <w:t>≥</w:t>
      </w:r>
      <w:r w:rsidRPr="004443A9">
        <w:t>97% of relative abundance] as opposed to natural vegetation land cover (e.g., forests and grasslands), despite the low dissolved organic carbon (DOC, 0.50–1.02 mg L</w:t>
      </w:r>
      <w:r w:rsidRPr="004443A9">
        <w:rPr>
          <w:vertAlign w:val="superscript"/>
        </w:rPr>
        <w:t>–1</w:t>
      </w:r>
      <w:r w:rsidRPr="004443A9">
        <w:t>), implying more reactive fluorescent dissolved organic matter (FDOM) that can potentially cause more CO</w:t>
      </w:r>
      <w:r w:rsidRPr="004443A9">
        <w:rPr>
          <w:vertAlign w:val="subscript"/>
        </w:rPr>
        <w:t>2</w:t>
      </w:r>
      <w:r w:rsidRPr="004443A9">
        <w:t xml:space="preserve"> outgassing. Furthermore, we observed a decreasing trend of slope ratio (</w:t>
      </w:r>
      <w:r w:rsidRPr="004443A9">
        <w:rPr>
          <w:i/>
        </w:rPr>
        <w:t>S</w:t>
      </w:r>
      <w:r w:rsidRPr="004443A9">
        <w:rPr>
          <w:vertAlign w:val="subscript"/>
        </w:rPr>
        <w:t>R</w:t>
      </w:r>
      <w:r w:rsidRPr="004443A9">
        <w:t>) and proteinlike fluorescence with elevation as opposed to a humiclike component, potentially due to more concentrated croplands and consequent nutrient inputs to rivers at lower elevations. In addition, poststorm samples shifted to more humiclike FDOM and chromophoric DOM (CDOM) sides compared to baseflow water. These findings highlighted the importance of land uses and other environmental conditions, such as elevation and hydrology, on DOM characteristics and dynamics and water quality, which can potentially be amplified due to the steep gradients in mountainous watersheds. Measures should be taken for proper and sustainable land uses to mitigate river water eutrophication and pollution and to protect drinking water sources for millions of populations.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Chen, Y., Huang, J., Zhong, Y., Zhang, X., Zhai, M., Chu, X., </w:t>
      </w:r>
      <w:r w:rsidR="00616347">
        <w:t xml:space="preserve">2020. </w:t>
      </w:r>
      <w:r w:rsidRPr="004443A9">
        <w:t>Suboxic-dominated conditions in the Ediacaran shallow ocean: Geochemistry of pelitic siltstones in the Doushantuo Formation, South China. Palaeogeography, Palaeoclimatology, Palaeoecology 546, 109658.</w:t>
      </w:r>
    </w:p>
    <w:p w:rsidR="00DB42FE" w:rsidRPr="004443A9" w:rsidRDefault="00DB42FE" w:rsidP="00616347">
      <w:pPr>
        <w:pStyle w:val="EndNoteBibliography"/>
        <w:ind w:left="360"/>
      </w:pPr>
      <w:r w:rsidRPr="004443A9">
        <w:t>http://www.sciencedirect.com/science/article/pii/S0031018220301036</w:t>
      </w:r>
    </w:p>
    <w:p w:rsidR="00DB42FE" w:rsidRPr="004443A9" w:rsidRDefault="00DB42FE" w:rsidP="00616347">
      <w:pPr>
        <w:pStyle w:val="EndNoteBibliography"/>
        <w:spacing w:after="0"/>
        <w:ind w:left="360"/>
      </w:pPr>
      <w:r w:rsidRPr="004443A9">
        <w:t>The Ediacaran witnessed a significant oxygenation of the Earth's surface in line with the emergence and diversification of early animals, but the redox conditions of the shallow waters during this period are still uncertain. Here, we present geochemical profiles from neritic pelitic siltstones of the Doushantuo Formation at the village of Xiaoyang on the northwestern margin of the Yangtze Platform in South China. Most sediments show moderate to low Fe</w:t>
      </w:r>
      <w:r w:rsidRPr="004443A9">
        <w:rPr>
          <w:vertAlign w:val="subscript"/>
        </w:rPr>
        <w:t>HR</w:t>
      </w:r>
      <w:r w:rsidRPr="004443A9">
        <w:t>/Fe</w:t>
      </w:r>
      <w:r w:rsidRPr="004443A9">
        <w:rPr>
          <w:vertAlign w:val="subscript"/>
        </w:rPr>
        <w:t>T</w:t>
      </w:r>
      <w:r w:rsidRPr="004443A9">
        <w:t xml:space="preserve"> ratios (≤0.38), low Fe</w:t>
      </w:r>
      <w:r w:rsidRPr="004443A9">
        <w:rPr>
          <w:vertAlign w:val="subscript"/>
        </w:rPr>
        <w:t>Py</w:t>
      </w:r>
      <w:r w:rsidRPr="004443A9">
        <w:t>/Fe</w:t>
      </w:r>
      <w:r w:rsidRPr="004443A9">
        <w:rPr>
          <w:vertAlign w:val="subscript"/>
        </w:rPr>
        <w:t>HR</w:t>
      </w:r>
      <w:r w:rsidRPr="004443A9">
        <w:t xml:space="preserve"> ratios (&lt;0.7), and low enrichment factors (EF ≤ 1) for most redox-sensitive elements, suggesting predominately oxygenated shallow waters. However, we also find moderately enriched Re (EF ~10–25) combined with depleted U and Mo (EF ≤ 1), indicating suboxic conditions. Furthermore, a few samples show Fe</w:t>
      </w:r>
      <w:r w:rsidRPr="004443A9">
        <w:rPr>
          <w:vertAlign w:val="subscript"/>
        </w:rPr>
        <w:t>HR</w:t>
      </w:r>
      <w:r w:rsidRPr="004443A9">
        <w:t>/Fe</w:t>
      </w:r>
      <w:r w:rsidRPr="004443A9">
        <w:rPr>
          <w:vertAlign w:val="subscript"/>
        </w:rPr>
        <w:t>T</w:t>
      </w:r>
      <w:r w:rsidRPr="004443A9">
        <w:t xml:space="preserve"> &gt; 0.38, suggesting episodic anoxia in the shallow ocean. Overall, the Xiaoyang section represents a suboxic shallow ocean with occasional episodes of anoxia during the Doushantuo stage, implying that the oxygenation level in the early-mid Ediacaran ocean was still limited, even under some shallow conditions. It also supports the high redox heterogeneity in the early-mid Ediacaran ocean, which could have restricted the evolution and distribution of early metazoans.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Chen, Y., Li, S., Yu, Z., Chen, Y., Mi, T., Zhen, Y., </w:t>
      </w:r>
      <w:r w:rsidR="00616347">
        <w:t xml:space="preserve">2020. </w:t>
      </w:r>
      <w:r w:rsidRPr="004443A9">
        <w:t>Characteristics of the Bathyarchaeota community in surface sediments from the southern Yellow Sea and northern East China sea. Estuarine, Coastal and Shelf Science 235, 106595.</w:t>
      </w:r>
    </w:p>
    <w:p w:rsidR="00DB42FE" w:rsidRPr="004443A9" w:rsidRDefault="00DB42FE" w:rsidP="00616347">
      <w:pPr>
        <w:pStyle w:val="EndNoteBibliography"/>
        <w:ind w:left="360"/>
      </w:pPr>
      <w:r w:rsidRPr="004443A9">
        <w:t>http://www.sciencedirect.com/science/article/pii/S0272771419305050</w:t>
      </w:r>
    </w:p>
    <w:p w:rsidR="00DB42FE" w:rsidRPr="004443A9" w:rsidRDefault="00DB42FE" w:rsidP="00616347">
      <w:pPr>
        <w:pStyle w:val="EndNoteBibliography"/>
        <w:spacing w:after="0"/>
        <w:ind w:left="360"/>
      </w:pPr>
      <w:r w:rsidRPr="004443A9">
        <w:t>The phylum Bathyarchaeota, which has high species and functional diversity, is abundant and widespread in marine sediments. In this study, the abundance and communities of Bathyarchaeota in surface sediment samples from the southern Yellow Sea (SYS) and northern East China Sea were investigated. The high numbers of Bathyarchaeota 16S rRNA gene copies indicated that Bathyarchaeota plays an important role in the biogeochemical cycles in these surface sediments. In total, 16 subgroups of Bathyarchaeota were detected, with Bathy-8 having the highest relative abundance in nearshore surface sediment samples. Redundancy analysis showed that the water depth, temperature and salinity were the most influential factors determining the Bathyarchaeota community spatial distribution. In addition, the diversity index and Chao1 estimator values were negatively correlated with the temperature and water depth, respectively (</w:t>
      </w:r>
      <w:r w:rsidRPr="004443A9">
        <w:rPr>
          <w:i/>
        </w:rPr>
        <w:t>P</w:t>
      </w:r>
      <w:r w:rsidRPr="004443A9">
        <w:t xml:space="preserve"> &lt; 0.05). Our results improve the understanding of the Bathyarchaeota diversity and the environmental conditions influencing the Bathyarchaeota distribution in surface sediment samples.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Chen, Z., Chen, L., Wang, G., Zou, C., Jiang, S., Si, Z., Gao, W., </w:t>
      </w:r>
      <w:r w:rsidR="00616347">
        <w:t xml:space="preserve">2020. </w:t>
      </w:r>
      <w:r w:rsidRPr="004443A9">
        <w:t>Applying isotopic geochemical proxy for gas content prediction of Longmaxi shale in the Sichuan Basin, China. Marine and Petroleum Geology 116, 104329.</w:t>
      </w:r>
    </w:p>
    <w:p w:rsidR="00DB42FE" w:rsidRPr="004443A9" w:rsidRDefault="00DB42FE" w:rsidP="00616347">
      <w:pPr>
        <w:pStyle w:val="EndNoteBibliography"/>
        <w:ind w:left="360"/>
      </w:pPr>
      <w:r w:rsidRPr="004443A9">
        <w:t>http://www.sciencedirect.com/science/article/pii/S0264817220301124</w:t>
      </w:r>
    </w:p>
    <w:p w:rsidR="00DB42FE" w:rsidRPr="004443A9" w:rsidRDefault="00DB42FE" w:rsidP="00616347">
      <w:pPr>
        <w:pStyle w:val="EndNoteBibliography"/>
        <w:spacing w:after="0"/>
        <w:ind w:left="360"/>
      </w:pPr>
      <w:r w:rsidRPr="004443A9">
        <w:t>Numerous studies have been conducted on the isotopic geochemical characteristics of shale gas. However, a systematic study of the relationship between the isotopic geochemical characteristics and gas content has not been addressed to date. In this study, we investigated the geochemical and isotopic compositions of shale gas samples, and the gas content of the Lower Silurian Longmaxi marine shale in the Huangjinba area, southern Sichuan Basin, China. In addition, we analyzed the quantitative relationship between the geochemical parameters and the gas content. The Longmaxi shale gas is a dry gas with a low wetness (0.12%–0.67%), dominated by methane (89.49%–99.00%) with a small amount of ethane (0.11%–0.61%). The average values of δ</w:t>
      </w:r>
      <w:r w:rsidRPr="004443A9">
        <w:rPr>
          <w:vertAlign w:val="superscript"/>
        </w:rPr>
        <w:t>13</w:t>
      </w:r>
      <w:r w:rsidRPr="004443A9">
        <w:t>C</w:t>
      </w:r>
      <w:r w:rsidRPr="004443A9">
        <w:rPr>
          <w:vertAlign w:val="subscript"/>
        </w:rPr>
        <w:t>methane</w:t>
      </w:r>
      <w:r w:rsidRPr="004443A9">
        <w:t>, δ</w:t>
      </w:r>
      <w:r w:rsidRPr="004443A9">
        <w:rPr>
          <w:vertAlign w:val="superscript"/>
        </w:rPr>
        <w:t>13</w:t>
      </w:r>
      <w:r w:rsidRPr="004443A9">
        <w:t>C</w:t>
      </w:r>
      <w:r w:rsidRPr="004443A9">
        <w:rPr>
          <w:vertAlign w:val="subscript"/>
        </w:rPr>
        <w:t>ethane</w:t>
      </w:r>
      <w:r w:rsidRPr="004443A9">
        <w:t xml:space="preserve"> and δ</w:t>
      </w:r>
      <w:r w:rsidRPr="004443A9">
        <w:rPr>
          <w:vertAlign w:val="superscript"/>
        </w:rPr>
        <w:t>13</w:t>
      </w:r>
      <w:r w:rsidRPr="004443A9">
        <w:t>C</w:t>
      </w:r>
      <w:r w:rsidRPr="004443A9">
        <w:rPr>
          <w:vertAlign w:val="subscript"/>
        </w:rPr>
        <w:t>propane</w:t>
      </w:r>
      <w:r w:rsidRPr="004443A9">
        <w:t xml:space="preserve"> are −29.8‰, −35.0‰, and −33.2‰, characterized by a partial isotopic reversal (δ</w:t>
      </w:r>
      <w:r w:rsidRPr="004443A9">
        <w:rPr>
          <w:vertAlign w:val="superscript"/>
        </w:rPr>
        <w:t>13</w:t>
      </w:r>
      <w:r w:rsidRPr="004443A9">
        <w:t>C</w:t>
      </w:r>
      <w:r w:rsidRPr="004443A9">
        <w:rPr>
          <w:vertAlign w:val="subscript"/>
        </w:rPr>
        <w:t>methane</w:t>
      </w:r>
      <w:r w:rsidRPr="004443A9">
        <w:t xml:space="preserve"> &gt; δ</w:t>
      </w:r>
      <w:r w:rsidRPr="004443A9">
        <w:rPr>
          <w:vertAlign w:val="superscript"/>
        </w:rPr>
        <w:t>13</w:t>
      </w:r>
      <w:r w:rsidRPr="004443A9">
        <w:t>C</w:t>
      </w:r>
      <w:r w:rsidRPr="004443A9">
        <w:rPr>
          <w:vertAlign w:val="subscript"/>
        </w:rPr>
        <w:t>propane</w:t>
      </w:r>
      <w:r w:rsidRPr="004443A9">
        <w:t xml:space="preserve"> &gt; δ</w:t>
      </w:r>
      <w:r w:rsidRPr="004443A9">
        <w:rPr>
          <w:vertAlign w:val="superscript"/>
        </w:rPr>
        <w:t>13</w:t>
      </w:r>
      <w:r w:rsidRPr="004443A9">
        <w:t>C</w:t>
      </w:r>
      <w:r w:rsidRPr="004443A9">
        <w:rPr>
          <w:vertAlign w:val="subscript"/>
        </w:rPr>
        <w:t>ethane</w:t>
      </w:r>
      <w:r w:rsidRPr="004443A9">
        <w:t>) with a maturity level (Ro ≈ 2.30%–2.51%). The total gas content of the Longmaxi shale varies widely from 0.42 m</w:t>
      </w:r>
      <w:r w:rsidRPr="004443A9">
        <w:rPr>
          <w:vertAlign w:val="superscript"/>
        </w:rPr>
        <w:t>3</w:t>
      </w:r>
      <w:r w:rsidRPr="004443A9">
        <w:t>/t to 3.88 m</w:t>
      </w:r>
      <w:r w:rsidRPr="004443A9">
        <w:rPr>
          <w:vertAlign w:val="superscript"/>
        </w:rPr>
        <w:t>3</w:t>
      </w:r>
      <w:r w:rsidRPr="004443A9">
        <w:t>/t. Correlation analyses revealed that the ethane isotope (δ</w:t>
      </w:r>
      <w:r w:rsidRPr="004443A9">
        <w:rPr>
          <w:vertAlign w:val="superscript"/>
        </w:rPr>
        <w:t>13</w:t>
      </w:r>
      <w:r w:rsidRPr="004443A9">
        <w:t>C</w:t>
      </w:r>
      <w:r w:rsidRPr="004443A9">
        <w:rPr>
          <w:vertAlign w:val="subscript"/>
        </w:rPr>
        <w:t>ethane</w:t>
      </w:r>
      <w:r w:rsidRPr="004443A9">
        <w:t>) and the magnitude of isotopic reversal (δ</w:t>
      </w:r>
      <w:r w:rsidRPr="004443A9">
        <w:rPr>
          <w:vertAlign w:val="superscript"/>
        </w:rPr>
        <w:t>13</w:t>
      </w:r>
      <w:r w:rsidRPr="004443A9">
        <w:t>C</w:t>
      </w:r>
      <w:r w:rsidRPr="004443A9">
        <w:rPr>
          <w:vertAlign w:val="subscript"/>
        </w:rPr>
        <w:t>methane</w:t>
      </w:r>
      <w:r w:rsidRPr="004443A9">
        <w:t xml:space="preserve"> - δ</w:t>
      </w:r>
      <w:r w:rsidRPr="004443A9">
        <w:rPr>
          <w:vertAlign w:val="superscript"/>
        </w:rPr>
        <w:t>13</w:t>
      </w:r>
      <w:r w:rsidRPr="004443A9">
        <w:t>C</w:t>
      </w:r>
      <w:r w:rsidRPr="004443A9">
        <w:rPr>
          <w:vertAlign w:val="subscript"/>
        </w:rPr>
        <w:t>ethane</w:t>
      </w:r>
      <w:r w:rsidRPr="004443A9">
        <w:t>) exhibit strong correlations with the total gas content and the free gas content. This study demonstrates that carbon isotopic reversal of shale gas largely depends on the secondary cracking, and thermal maturity and residual liquid hydrocarbons content are important factors affecting the magnitude of carbon isotopic reversal. Based on the quantitative study conducted in this paper, we provide a new proxy for predicting the gas content of high maturity shale using an isotopic method.</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Chen, Z., Lavoie, D., Mort, A., Jiang, C., Zhang, S., Liu, X., Reyes, J., Armstrong, D., </w:t>
      </w:r>
      <w:r w:rsidR="00616347">
        <w:t xml:space="preserve">2020. </w:t>
      </w:r>
      <w:r w:rsidRPr="004443A9">
        <w:t>Source rock kinetics and petroleum generation history of the Upper Ordovician calcareous shales of the Hudson Bay Basin and surrounding areas. Fuel 270, 117503.</w:t>
      </w:r>
    </w:p>
    <w:p w:rsidR="00DB42FE" w:rsidRPr="004443A9" w:rsidRDefault="00DB42FE" w:rsidP="00616347">
      <w:pPr>
        <w:pStyle w:val="EndNoteBibliography"/>
        <w:ind w:left="360"/>
      </w:pPr>
      <w:r w:rsidRPr="004443A9">
        <w:lastRenderedPageBreak/>
        <w:t>http://www.sciencedirect.com/science/article/pii/S0016236120304981</w:t>
      </w:r>
    </w:p>
    <w:p w:rsidR="00DB42FE" w:rsidRPr="004443A9" w:rsidRDefault="00DB42FE" w:rsidP="00616347">
      <w:pPr>
        <w:pStyle w:val="EndNoteBibliography"/>
        <w:spacing w:after="0"/>
        <w:ind w:left="360"/>
      </w:pPr>
      <w:r w:rsidRPr="004443A9">
        <w:t>The current understanding of the Paleozoic petroleum system in Hudson Bay Basin remains far from complete due in no small part to the uncertainty in locally-calibrated generation and migration models underpinned with reliable source rock kinetic data. To improve the petroleum systems model, four representative immature organic-rich calcareous shales of Late Ordovician age from onshore outcrops surrounding the Hudson Bay were analysed to characterize their source rock generation kinetics. To constrain uncertainty due to laboratory measurement errors in kinetic parameter estimation, six heating rates were used in the pyrolysis experiments for each sample, resulting in 24 kinetic datasets that reduce uncertainty from both source rock heterogeneity and inherited laboratory measurement errors. Under the assumed geological time and geothermal framework, application of the kinetic models resulted in internally consistent generation histories, suggesting that the source rock started to generate oil when temperature reached 100 °C. It is likely where the maximum burial depth excessed 3000 m, the source rocks were in oil generation window with kerogen transformation ratio varying in a range between 52 and 78%. The modeled source rock maturity range from the immature outcrop samples is supported by bulk rock geochemistry data from cuttings of the source rock interval in offshore wells with high S1 peaks, large humps on the left shoulder on S2 curves, typical feature of FID pyrograms in the oil window. Comparison of the kinetic behavior of the samples in this study with those of typical marine Type I, Type II and Type IIS source rocks under laboratory condition and the assumed geological time/temperature framework suggests that kerogen converts to oil in a lower temperature range than those typical normal marine Type II source rock. We attribute the moderate sulfur content (likely high sulfoxide/thiophene ratio) and presence of kerogen component groups that are more prone to cleavage at low temperature as the cause for low temperature onset of hydrocarbon generation.</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Chen, Z., Liu, X., Yang, J., Little, E., Zhou, Y., </w:t>
      </w:r>
      <w:r w:rsidR="00616347">
        <w:t xml:space="preserve">2020. </w:t>
      </w:r>
      <w:r w:rsidRPr="004443A9">
        <w:t>Deep learning-based method for SEM image segmentation in mineral characterization, an example from Duvernay Shale samples in Western Canada Sedimentary Basin. Computers &amp; Geosciences 138, 104450.</w:t>
      </w:r>
    </w:p>
    <w:p w:rsidR="00DB42FE" w:rsidRPr="004443A9" w:rsidRDefault="00DB42FE" w:rsidP="00616347">
      <w:pPr>
        <w:pStyle w:val="EndNoteBibliography"/>
        <w:ind w:left="360"/>
      </w:pPr>
      <w:r w:rsidRPr="004443A9">
        <w:t>http://www.sciencedirect.com/science/article/pii/S0098300419304819</w:t>
      </w:r>
    </w:p>
    <w:p w:rsidR="00DB42FE" w:rsidRPr="004443A9" w:rsidRDefault="00DB42FE" w:rsidP="00616347">
      <w:pPr>
        <w:pStyle w:val="EndNoteBibliography"/>
        <w:spacing w:after="0"/>
        <w:ind w:left="360"/>
      </w:pPr>
      <w:r w:rsidRPr="004443A9">
        <w:t xml:space="preserve">Texture-based feature extraction and object segmentation are challenging in image processing. In this study, the U-Net architecture developed for biomedical image analysis was used to evaluate geologic characteristics depicted within scanning electron microscope (SEM) images of shale samples. With a revised weight function, the U-Net architecture allowed for effective discrimination of clay aggregates mixed with matrix mineral particles and organic matter (OM). In training, a local variability weight based on spatial statistics was used to enhance the contrast between features across boundary in the loss function of U-Net system optimization, thereby improving the ability of U-Net to distinguish the geologic features specific to our research needs. The Tensorflow neural network library was used to create semantic segmentation and feature extraction models in mineral identification. In the application example of the Devonian Duvernay shale study, we prepared 8000 randomly sliced image cuts (256 × 256 pixels) from four masked image tiles (6144 × 6144 pixels) with tagged feature objects, among which 6400 are for training and the remaining 1600 held image slices for validation. In the validation, the average of intersection over union (IOU) reaches 91.7%. The trained model approved by validation was used for clay aggregate segmentation and mineral classification. Three hundred SEM image tiles of source rock samples from different maturities in the Duvernay Formation were processed using the proposed workflow. The results show that the clay aggregates are clearly separated from other matrix mineral particles with acceptable boundaries, </w:t>
      </w:r>
      <w:r w:rsidRPr="004443A9">
        <w:lastRenderedPageBreak/>
        <w:t>although both exhibit indistinguishable grey-level pixels. This approach demonstrates that texture-based deep learning feature extraction is feasible, cost-effective and timely, and can help geoscientists gain new insights by quantitatively analyzing specific geological characteristics and features.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Chua, C.K., Lv, Y., Zhao, W., Ren, Y., Zhang, H.J., </w:t>
      </w:r>
      <w:r w:rsidR="00616347">
        <w:t xml:space="preserve">2020. </w:t>
      </w:r>
      <w:r w:rsidRPr="004443A9">
        <w:t>Improving annotation of known-unknowns with accurately reconstructed mass spectra. International Journal of Mass Spectrometry 451, 116321.</w:t>
      </w:r>
    </w:p>
    <w:p w:rsidR="00DB42FE" w:rsidRPr="004443A9" w:rsidRDefault="00DB42FE" w:rsidP="00616347">
      <w:pPr>
        <w:pStyle w:val="EndNoteBibliography"/>
        <w:ind w:left="360"/>
      </w:pPr>
      <w:r w:rsidRPr="004443A9">
        <w:t>http://www.sciencedirect.com/science/article/pii/S1387380619304580</w:t>
      </w:r>
    </w:p>
    <w:p w:rsidR="00DB42FE" w:rsidRPr="004443A9" w:rsidRDefault="00DB42FE" w:rsidP="00616347">
      <w:pPr>
        <w:pStyle w:val="EndNoteBibliography"/>
        <w:spacing w:after="0"/>
        <w:ind w:left="360"/>
      </w:pPr>
      <w:r w:rsidRPr="004443A9">
        <w:t>Chemical profiling with gas chromatography/mass spectrometry (GC/MS) full-spectrum acquisition mode often leads to the discovery of known-unknown components. These are non-identified components which arise from the limitation of the data processing method or limited breadth of mass spectral libraries. The recent introduction of the NIST Hybrid Search sought to relieve the latter limitation by providing an improved class annotation technique. Herein, we demonstrate the importance of using a precise mass spectral reconstruction technique to increase the confidence of detecting the presence of known-unknowns and subsequently identifying them successfully with NIST Hybrid Search function. We compared the AMDIS algorithm against the rBTEM algorithm and found that the latter could more accurately reconstruct the mass spectra of co-eluting known-unknown components. This has a far-reaching implication to increase the number of identified compounds in GC/MS scan data.</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Ciccarese, D., Zuidema, A., Merlo, V., Johnson, D.R., </w:t>
      </w:r>
      <w:r w:rsidR="00616347">
        <w:t xml:space="preserve">2020. </w:t>
      </w:r>
      <w:r w:rsidRPr="004443A9">
        <w:t>Interaction-dependent effects of surface structure on microbial spatial self-organization. Philosophical Transactions of the Royal Society B: Biological Sciences 375, 20190246.</w:t>
      </w:r>
    </w:p>
    <w:p w:rsidR="00DB42FE" w:rsidRPr="004443A9" w:rsidRDefault="00DB42FE" w:rsidP="00616347">
      <w:pPr>
        <w:pStyle w:val="EndNoteBibliography"/>
        <w:ind w:left="360"/>
      </w:pPr>
      <w:r w:rsidRPr="004443A9">
        <w:t>https://doi.org/10.1098/rstb.2019.0246</w:t>
      </w:r>
    </w:p>
    <w:p w:rsidR="00DB42FE" w:rsidRPr="004443A9" w:rsidRDefault="00DB42FE" w:rsidP="00616347">
      <w:pPr>
        <w:pStyle w:val="EndNoteBibliography"/>
        <w:spacing w:after="0"/>
        <w:ind w:left="360"/>
      </w:pPr>
      <w:r w:rsidRPr="004443A9">
        <w:t>Surface-attached microbial communities consist of different cell types that, at least to some degree, organize themselves non-randomly across space (referred to as spatial self-organization). While spatial self-organization can have important effects on the functioning, ecology and evolution of communities, the underlying determinants of spatial self-organization remain unclear. Here, we hypothesize that the presence of physical objects across a surface can have important effects on spatial self-organization. Using pairs of isogenic strains of Pseudomonas stutzeri, we performed range expansion experiments in the absence or presence of physical objects and quantified the effects on spatial self-organization. We demonstrate that physical objects create local deformities along the expansion frontier, and these deformities increase in magnitude during range expansion. The deformities affect the densities of interspecific boundaries and diversity along the expansion frontier, and thus affect spatial self-organization, but the effects are interaction-dependent. For competitive interactions that promote sectorized patterns of spatial self-organization, physical objects increase the density of interspecific boundaries and diversity. By contrast, for cross-feeding interactions that promote dendritic patterns, they decrease the density of interspecific boundaries and diversity. These qualitatively different outcomes are probably caused by fundamental differences in the orientations of the interspecific boundaries. Thus, in order to predict the effects of physical objects on spatial self-organization, information is needed regarding the interactions present within a community and the general geometric shapes of spatial self-organization that emerge from those interactions.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Ciofalo, A.J., Sinelli, P.T., Hofman, C.L., </w:t>
      </w:r>
      <w:r w:rsidR="00616347">
        <w:t xml:space="preserve">2020. </w:t>
      </w:r>
      <w:r w:rsidRPr="004443A9">
        <w:t>Starchy shells: Residue analysis of precolonial northern Caribbean culinary practices. Archaeometry 62, 362-380.</w:t>
      </w:r>
    </w:p>
    <w:p w:rsidR="00DB42FE" w:rsidRPr="004443A9" w:rsidRDefault="00DB42FE" w:rsidP="00616347">
      <w:pPr>
        <w:pStyle w:val="EndNoteBibliography"/>
        <w:ind w:left="360"/>
      </w:pPr>
      <w:r w:rsidRPr="004443A9">
        <w:t>https://doi.org/10.1111/arcm.12524</w:t>
      </w:r>
    </w:p>
    <w:p w:rsidR="00DB42FE" w:rsidRPr="004443A9" w:rsidRDefault="00DB42FE" w:rsidP="00616347">
      <w:pPr>
        <w:pStyle w:val="EndNoteBibliography"/>
        <w:spacing w:after="0"/>
        <w:ind w:left="360"/>
      </w:pPr>
      <w:r w:rsidRPr="004443A9">
        <w:t>Determining culinary practices is critical for understanding phytocultural complexes, transported landscapes and human niche constructions. Starch analysis is an exemplary method for reconstructing human–plant dependencies. However, certain types of artefacts from the Greater Caribbean region, such as flaked lithics, lithic griddles, coral artefacts and shells, have not been extensively analysed for starch remains. Moreover, there has been no comparison of culinary practices between The Bahama archipelago and the Greater Antilles (the presumed origin of foodways transported to The Bahama archipelago). The paper investigates 60 bivalve shell artefacts for starch remains, which were recovered from three archaeological sites: El Flaco and La Luperona (Dominican Republic), and Palmetto Junction (Turks &amp; Caicos Islands). In contrast to ethnohistorical narratives that characterize shell tools exclusively as manioc peelers, the starch remains recovered in this study suggest a broader suite of plants and functions. The results provide evidence that a diversity of plants (</w:t>
      </w:r>
      <w:r w:rsidRPr="004443A9">
        <w:rPr>
          <w:i/>
        </w:rPr>
        <w:t>Dioscorea</w:t>
      </w:r>
      <w:r w:rsidRPr="004443A9">
        <w:t xml:space="preserve"> spp., </w:t>
      </w:r>
      <w:r w:rsidRPr="004443A9">
        <w:rPr>
          <w:i/>
        </w:rPr>
        <w:t>Dioscorea trifida</w:t>
      </w:r>
      <w:r w:rsidRPr="004443A9">
        <w:t xml:space="preserve"> L., Fabaceae, </w:t>
      </w:r>
      <w:r w:rsidRPr="004443A9">
        <w:rPr>
          <w:i/>
        </w:rPr>
        <w:t>Ipomoea batatas</w:t>
      </w:r>
      <w:r w:rsidRPr="004443A9">
        <w:t xml:space="preserve"> L., </w:t>
      </w:r>
      <w:r w:rsidRPr="004443A9">
        <w:rPr>
          <w:i/>
        </w:rPr>
        <w:t>Manihot esculenta</w:t>
      </w:r>
      <w:r w:rsidRPr="004443A9">
        <w:t xml:space="preserve"> Crantz, cf. </w:t>
      </w:r>
      <w:r w:rsidRPr="004443A9">
        <w:rPr>
          <w:i/>
        </w:rPr>
        <w:t>Zea mays</w:t>
      </w:r>
      <w:r w:rsidRPr="004443A9">
        <w:t xml:space="preserve"> L., cf. </w:t>
      </w:r>
      <w:r w:rsidRPr="004443A9">
        <w:rPr>
          <w:i/>
        </w:rPr>
        <w:t>Acrocomia media</w:t>
      </w:r>
      <w:r w:rsidRPr="004443A9">
        <w:t xml:space="preserve"> O. F. Cook, and Zingiberales) were prepared with these shells. This new evidence contributes to ongoing discussions about culinary practices in the Caribbean and other related late precolonial (</w:t>
      </w:r>
      <w:r w:rsidRPr="004443A9">
        <w:rPr>
          <w:i/>
        </w:rPr>
        <w:t>c</w:t>
      </w:r>
      <w:r w:rsidRPr="004443A9">
        <w:t>.800–1500 ce) foodways.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Ćirković, M.M., Balbi, A., </w:t>
      </w:r>
      <w:r w:rsidR="00616347">
        <w:t xml:space="preserve">2020. </w:t>
      </w:r>
      <w:r w:rsidRPr="004443A9">
        <w:t>Copernicanism and the typicality in time. International Journal of Astrobiology 19, 101-109.</w:t>
      </w:r>
    </w:p>
    <w:p w:rsidR="00DB42FE" w:rsidRPr="004443A9" w:rsidRDefault="00DB42FE" w:rsidP="00616347">
      <w:pPr>
        <w:pStyle w:val="EndNoteBibliography"/>
        <w:ind w:left="360"/>
      </w:pPr>
      <w:r w:rsidRPr="004443A9">
        <w:t>https://doi.org/10.1017/S1473550419000223</w:t>
      </w:r>
    </w:p>
    <w:p w:rsidR="00DB42FE" w:rsidRPr="004443A9" w:rsidRDefault="00DB42FE" w:rsidP="00616347">
      <w:pPr>
        <w:pStyle w:val="EndNoteBibliography"/>
        <w:spacing w:after="0"/>
        <w:ind w:left="360"/>
      </w:pPr>
      <w:r w:rsidRPr="004443A9">
        <w:t>How special (or not) is the epoch we are living in? What is the appropriate reference class for embedding the observations made at the present time? How probable – or else – is anything we observe in the fulness of time? Contemporary cosmology and astrobiology bring those seemingly old-fashioned philosophical issues back into focus. There are several examples of contemporary research which use the assumption of typicality in time (or temporal Copernicanism) explicitly or implicitly, while not truly elaborating upon the meaning of this assumption. The present paper brings attention to the underlying and often uncritically accepted assumptions in these cases. It also aims to defend a more radical position that typicality in time is not – and cannot ever be – well-defined, in contrast to the typicality in space, and the typicality in various specific parameter spaces. This, of course, does not mean that we are atypical in time; instead, the notion of typicality in time is necessarily somewhat vague and restricted. In principle, it could be strengthened by further defining the relevant context, e.g. by referring to typicality within the Solar lifetime, or some similar restricting clause.</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Clark, J.V., Sutter, B., McAdam, A.C., Rampe, E.B., Archer, P.D., Ming, D.W., Navarro-Gonzalez, R., Mahaffy, P., Lapen, T.J., </w:t>
      </w:r>
      <w:r w:rsidR="00616347">
        <w:t xml:space="preserve">2020. </w:t>
      </w:r>
      <w:r w:rsidRPr="004443A9">
        <w:t>High-temperature HCl evolutions from mixtures of perchlorates and chlorides with water-bearing phases: Implications for the SAM instrument in Gale Crater, Mars. Journal of Geophysical Research: Planets 125, e2019JE006173.</w:t>
      </w:r>
    </w:p>
    <w:p w:rsidR="00DB42FE" w:rsidRPr="004443A9" w:rsidRDefault="00DB42FE" w:rsidP="00616347">
      <w:pPr>
        <w:pStyle w:val="EndNoteBibliography"/>
        <w:ind w:left="360"/>
      </w:pPr>
      <w:r w:rsidRPr="004443A9">
        <w:t>https://doi.org/10.1029/2019JE006173</w:t>
      </w:r>
    </w:p>
    <w:p w:rsidR="00DB42FE" w:rsidRPr="004443A9" w:rsidRDefault="00DB42FE" w:rsidP="00616347">
      <w:pPr>
        <w:pStyle w:val="EndNoteBibliography"/>
        <w:spacing w:after="0"/>
        <w:ind w:left="360"/>
      </w:pPr>
      <w:r w:rsidRPr="004443A9">
        <w:lastRenderedPageBreak/>
        <w:t xml:space="preserve">Evolved hydrogen chloride (HCl) detected by the Sample Analysis at Mars (SAM) instrument's evolved gas analysis (EGA) mode on board the Mars Science Laboratory </w:t>
      </w:r>
      <w:r w:rsidRPr="004443A9">
        <w:rPr>
          <w:i/>
        </w:rPr>
        <w:t>Curiosity</w:t>
      </w:r>
      <w:r w:rsidRPr="004443A9">
        <w:t xml:space="preserve"> rover has been attributed to oxychlorines (i.e., perchlorates and chlorates) or chlorides in Gale crater samples. Previous laboratory EGA studies of oxychlorines have been unable to reproduce the high‐temperature (&gt;600 °C) HCl evolutions observed in most Gale crater samples. The objective of this work was to reproduce these high‐temperature HCl releases from laboratory mixtures of perchlorates and chlorides with phases that evolve water upon heating. Magnesium and sodium perchlorate and chloride were mixed with saponite, nontronite, and a basaltic glass and analyzed in a laboratory thermal evolved gas analyzer configured to operate similarly to the SAM instrument. Na perchlorate and chloride evolved HCl only when mixed with all three water‐producing phases. Mg perchlorate and chloride evolved a mid ‐temperature HCl release (~450–550 °C) and evolved an additional high‐temperature HCl release (~810–820 °C) when mixed with saponite. This work demonstrated that chlorides, either originally present or from perchlorate decomposition, evolved high‐temperature HCl when reacting with water from water‐producing phases. The HCl release temperature was dependent on the mixture's mineralogy and chemical composition. HCl releases detected by SAM were consistent with oxychlorines and/or chlorides in the presence of water‐producing phases. Additionally, this work provided constraints on the presence of oxychlorines or chlorides and their cation types, which has implications for past aqueous and diagenetic processes, the potential for past life, and detection of organics by EGA.</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Cloutier, R., Clement, A.M., Lee, M.S.Y., Noël, R., Béchard, I., Roy, V., Long, J.A., </w:t>
      </w:r>
      <w:r w:rsidR="00616347">
        <w:t xml:space="preserve">2020. </w:t>
      </w:r>
      <w:r w:rsidRPr="004443A9">
        <w:rPr>
          <w:i/>
        </w:rPr>
        <w:t xml:space="preserve">Elpistostege </w:t>
      </w:r>
      <w:r w:rsidRPr="004443A9">
        <w:t>and the origin of the vertebrate hand. Nature 579, 549-554.</w:t>
      </w:r>
    </w:p>
    <w:p w:rsidR="00DB42FE" w:rsidRPr="004443A9" w:rsidRDefault="00DB42FE" w:rsidP="00616347">
      <w:pPr>
        <w:pStyle w:val="EndNoteBibliography"/>
        <w:ind w:left="360"/>
      </w:pPr>
      <w:r w:rsidRPr="004443A9">
        <w:t>https://doi.org/10.1038/s41586-020-2100-8</w:t>
      </w:r>
    </w:p>
    <w:p w:rsidR="00DB42FE" w:rsidRPr="004443A9" w:rsidRDefault="00DB42FE" w:rsidP="00616347">
      <w:pPr>
        <w:pStyle w:val="EndNoteBibliography"/>
        <w:spacing w:after="0"/>
        <w:ind w:left="360"/>
      </w:pPr>
      <w:r w:rsidRPr="004443A9">
        <w:t xml:space="preserve">The evolution of fishes to tetrapods (four-limbed vertebrates) was one of the most important transformations in vertebrate evolution. Hypotheses of tetrapod origins rely heavily on the anatomy of a few tetrapod-like fish fossils from the Middle and Late Devonian period (393–359 million years ago). These taxa—known as elpistostegalians—include </w:t>
      </w:r>
      <w:r w:rsidRPr="004443A9">
        <w:rPr>
          <w:i/>
        </w:rPr>
        <w:t>Panderichthys</w:t>
      </w:r>
      <w:r w:rsidRPr="004443A9">
        <w:t xml:space="preserve">, </w:t>
      </w:r>
      <w:r w:rsidRPr="004443A9">
        <w:rPr>
          <w:i/>
        </w:rPr>
        <w:t>Elpistostege</w:t>
      </w:r>
      <w:r w:rsidRPr="004443A9">
        <w:t xml:space="preserve"> and </w:t>
      </w:r>
      <w:r w:rsidRPr="004443A9">
        <w:rPr>
          <w:i/>
        </w:rPr>
        <w:t>Tiktaalik</w:t>
      </w:r>
      <w:r w:rsidRPr="004443A9">
        <w:t xml:space="preserve">, none of which has yet revealed the complete skeletal anatomy of the pectoral fin. Here we report a 1.57-metre-long articulated specimen of </w:t>
      </w:r>
      <w:r w:rsidRPr="004443A9">
        <w:rPr>
          <w:i/>
        </w:rPr>
        <w:t>Elpistostege watsoni</w:t>
      </w:r>
      <w:r w:rsidRPr="004443A9">
        <w:t xml:space="preserve"> from the Upper Devonian period of Canada, which represents—to our knowledge—the most complete elpistostegalian yet found. High-energy computed tomography reveals that the skeleton of the pectoral fin has four proximodistal rows of radials (two of which include branched carpals) as well as two distal rows that are organized as digits and putative digits. Despite this skeletal pattern (which represents the most tetrapod-like arrangement of bones found in a pectoral fin to date), the fin retains lepidotrichia (fin rays) distal to the radials. We suggest that the vertebrate hand arose primarily from a skeletal pattern buried within the fairly typical aquatic pectoral fin of elpistostegalians. </w:t>
      </w:r>
      <w:r w:rsidRPr="004443A9">
        <w:rPr>
          <w:i/>
        </w:rPr>
        <w:t>Elpistostege</w:t>
      </w:r>
      <w:r w:rsidRPr="004443A9">
        <w:t xml:space="preserve"> is potentially the sister taxon of all other tetrapods, and its appendages further blur the line between fish and land vertebrates.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Coch, C., Ramage, J.L., Lamoureux, S.F., Meyer, H., Knoblauch, C., Lantuit, H., </w:t>
      </w:r>
      <w:r w:rsidR="00616347">
        <w:t xml:space="preserve">2020. </w:t>
      </w:r>
      <w:r w:rsidRPr="004443A9">
        <w:t>Spatial variability of dissolved organic carbon, solutes, and suspended sediment in disturbed low Arctic coastal watersheds. Journal of Geophysical Research: Biogeosciences 125, e2019JG005505.</w:t>
      </w:r>
    </w:p>
    <w:p w:rsidR="00DB42FE" w:rsidRPr="004443A9" w:rsidRDefault="00DB42FE" w:rsidP="00616347">
      <w:pPr>
        <w:pStyle w:val="EndNoteBibliography"/>
        <w:ind w:left="360"/>
      </w:pPr>
      <w:r w:rsidRPr="004443A9">
        <w:t>https://doi.org/10.1029/2019JG005505</w:t>
      </w:r>
    </w:p>
    <w:p w:rsidR="00DB42FE" w:rsidRPr="004443A9" w:rsidRDefault="00DB42FE" w:rsidP="00616347">
      <w:pPr>
        <w:pStyle w:val="EndNoteBibliography"/>
        <w:ind w:left="360"/>
      </w:pPr>
      <w:r w:rsidRPr="004443A9">
        <w:lastRenderedPageBreak/>
        <w:t>Abstract: Climate change in the Arctic leads to permafrost degradation and to associated changes in freshwater geochemistry. There is a limited understanding of how disturbances such as active layer detachments or retrogressive thaw slumps impact water quality on a catchment scale. This study investigates how permafrost degradation affects concentrations of dissolved organic carbon (DOC), total dissolved solids (TDS), suspended sediment, and stable water isotopes in adjacent Low Arctic watersheds. We incorporated data on disturbance between 1952 and 2015, as well as sporadic runoff and geochemistry data of streams nearby. Our results show that the total disturbed area decreased by 41% between 1952 and 2015, whereas the total number of disturbances increased by 66% in all six catchments. The spatial variability of hydrochemical parameters is linked to catchment properties and not necessarily reflected at the outflow. Degrading ice‐wedge polygons were found to increase DOC concentrations upstream in Ice Creek West, whereas hydrologically connected disturbances were linked to increases in TDS and suspended sediment. Although we found a great spatial variability of hydrochemical concentrations along the paired watershed, there was a linear relationship between catchment size and daily DOC, total dissolved nitrogen, and TDS fluxes for all six streams. Suspended sediment flux on the contrary did not show a clear relationship as one hydrologically connected retrogressive thaw slump impacted the overall flux in one of the streams. Understanding the spatial variability of water quality will help to model the lateral geochemical fluxes from Arctic catchments.</w:t>
      </w:r>
    </w:p>
    <w:p w:rsidR="00DB42FE" w:rsidRPr="004443A9" w:rsidRDefault="00DB42FE" w:rsidP="00616347">
      <w:pPr>
        <w:pStyle w:val="EndNoteBibliography"/>
        <w:spacing w:after="0"/>
        <w:ind w:left="360"/>
      </w:pPr>
      <w:r w:rsidRPr="004443A9">
        <w:t xml:space="preserve">Plain Language Summary: One effect climate change has in the Arctic is the thawing of permafrost. Permafrost is defined as ground that remains below 0 °C for at least two consecutive years. The low temperatures in the High North lead to very slow decomposition rates of organic material from plants and animals. A lot of this material has accumulated over thousands of years. As air temperatures in the Arctic are rising, permafrost is thawing. This is also termed permafrost degradation. It can occur in two forms: (1) The gradual deeper thawing of permafrost is called </w:t>
      </w:r>
      <w:r w:rsidRPr="004443A9">
        <w:rPr>
          <w:i/>
        </w:rPr>
        <w:t>thermal perturbation</w:t>
      </w:r>
      <w:r w:rsidRPr="004443A9">
        <w:t xml:space="preserve">. It might lead to a subsidence (sinking) of the ground, because water that was previously frozen runs off. (2) Thawing of the ground may lead to a destabilization of the ground and connected landslides. This is termed </w:t>
      </w:r>
      <w:r w:rsidRPr="004443A9">
        <w:rPr>
          <w:i/>
        </w:rPr>
        <w:t>physical</w:t>
      </w:r>
      <w:r w:rsidRPr="004443A9">
        <w:t xml:space="preserve"> or </w:t>
      </w:r>
      <w:r w:rsidRPr="004443A9">
        <w:rPr>
          <w:i/>
        </w:rPr>
        <w:t>surface disturbance</w:t>
      </w:r>
      <w:r w:rsidRPr="004443A9">
        <w:t xml:space="preserve">. These two forms of permafrost degradation have an impact on the water quality of rivers flowing through the terrain. In this study, we investigated the impacts of permafrost degradation on stream hydrochemistry on Herschel Island, Yukon Territory, Canada. We identified active physical disturbances in the past using aerial photographs from 1952 and 1970 and satellites images from 2011 and 2015. This was done for the areas from which rainwater flows into the same river (catchment area) of six streams named Water Creek, Beach Creek, Fox Creek, Ice Creek West, Ice Creek East, and Eastern Gully. In 2016, we collected water samples along two neighboring streams (Ice Creek West and Ice Creek East) to compare the impacts of local physical disturbances on the hydrochemistry. In these two streams, we also measured water flow (discharge) during the monitoring season. We further collected samples at the outflow of the other four streams nearby. Water samples were analyzed in the laboratory for different chemical properties that help us to understand the influence of permafrost degradation. For the six streams, we found that the total disturbed area decreased by 41% between 1952 and 2015, whereas the total number of disturbances increased by 66%. We were able to link permafrost degradation to changes in chemical water composition within the two neighboring streams. It is important that disturbances are “hydrologically connected” to impact concentrations of inorganic compounds (total dissolved solids) and mud (suspended sediment) in the streams. Essentially, this means that water needs to flow through these disturbances to mobilize the material and influence the concentration in the stream. Taking all studied streams together, the overall flux of dissolved organic carbon, total dissolved solids, and total dissolved nitrogen (i.e., the amount of chemical compound [in kg] transported away in every liter of river water) depends on catchment size. The </w:t>
      </w:r>
      <w:r w:rsidRPr="004443A9">
        <w:lastRenderedPageBreak/>
        <w:t>larger the catchment, the more of this material is transported away. This relationship could not be confirmed for suspended sediment, because a hydrologically connected retrogressive thaw slump heavily impacted the flux in one of the streams. This study is important because the river water ultimately drains into the Arctic Ocean and might change the water quality there. This may have consequences for the animals and plants living in the ocean. We need to understand the influence of permafrost degradation on stream water quality to assess future changes of the Arctic Ocean.</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Collins, A.W., Elango, V., Curtis, D., Rodrigue, M., Pardue, J.H., </w:t>
      </w:r>
      <w:r w:rsidR="00616347">
        <w:t xml:space="preserve">2020. </w:t>
      </w:r>
      <w:r w:rsidRPr="004443A9">
        <w:t>Biogeochemical controls on biodegradation of buried oil along a coastal headland beach. Marine Pollution Bulletin 154, 111051.</w:t>
      </w:r>
    </w:p>
    <w:p w:rsidR="00DB42FE" w:rsidRPr="004443A9" w:rsidRDefault="00DB42FE" w:rsidP="00616347">
      <w:pPr>
        <w:pStyle w:val="EndNoteBibliography"/>
        <w:ind w:left="360"/>
      </w:pPr>
      <w:r w:rsidRPr="004443A9">
        <w:t>http://www.sciencedirect.com/science/article/pii/S0025326X20301697</w:t>
      </w:r>
    </w:p>
    <w:p w:rsidR="00DB42FE" w:rsidRPr="004443A9" w:rsidRDefault="00DB42FE" w:rsidP="00616347">
      <w:pPr>
        <w:pStyle w:val="EndNoteBibliography"/>
        <w:spacing w:after="0"/>
        <w:ind w:left="360"/>
      </w:pPr>
      <w:r w:rsidRPr="004443A9">
        <w:t>Laboratory experiments investigated oxygen dynamics in buried oiled sands sampled from areas impacted by the Macondo spill. Measured oxygen fluxes in oil deposits that were permeable to tidal water ranged from 10</w:t>
      </w:r>
      <w:r w:rsidRPr="004443A9">
        <w:rPr>
          <w:vertAlign w:val="superscript"/>
        </w:rPr>
        <w:t>−3</w:t>
      </w:r>
      <w:r w:rsidRPr="004443A9">
        <w:t xml:space="preserve"> to 10</w:t>
      </w:r>
      <w:r w:rsidRPr="004443A9">
        <w:rPr>
          <w:vertAlign w:val="superscript"/>
        </w:rPr>
        <w:t>−4</w:t>
      </w:r>
      <w:r w:rsidRPr="004443A9">
        <w:t xml:space="preserve"> μmol/cm</w:t>
      </w:r>
      <w:r w:rsidRPr="004443A9">
        <w:rPr>
          <w:vertAlign w:val="superscript"/>
        </w:rPr>
        <w:t>2</w:t>
      </w:r>
      <w:r w:rsidRPr="004443A9">
        <w:t>-sec, orders of magnitude higher than fluxes in non-permeable deposits (10</w:t>
      </w:r>
      <w:r w:rsidRPr="004443A9">
        <w:rPr>
          <w:vertAlign w:val="superscript"/>
        </w:rPr>
        <w:t>−6</w:t>
      </w:r>
      <w:r w:rsidRPr="004443A9">
        <w:t xml:space="preserve"> to 10</w:t>
      </w:r>
      <w:r w:rsidRPr="004443A9">
        <w:rPr>
          <w:vertAlign w:val="superscript"/>
        </w:rPr>
        <w:t>−7</w:t>
      </w:r>
      <w:r w:rsidRPr="004443A9">
        <w:t xml:space="preserve"> μmol/cm</w:t>
      </w:r>
      <w:r w:rsidRPr="004443A9">
        <w:rPr>
          <w:vertAlign w:val="superscript"/>
        </w:rPr>
        <w:t>2</w:t>
      </w:r>
      <w:r w:rsidRPr="004443A9">
        <w:t>-sec). Oxygen dynamics were well described by 1-d models that represent increased oxygen consumption in oiled sands. Experiments demonstrated that when oxygen is present and the oil deposit is permeable to tidal water, biodegradation of alkylated phenanthrenes and dibenzothiophenes proceeded over time scales (i.e., weeks) to have a significant impact on the mass and quality of buried oil. For this biodegradation process to proceed, two independent conditions must be met, a source of oxygenated water has to be present (e.g., tidal flushing in the intertidal zone) and the oiled deposit has to be permeable to water (i.e., pores cannot be completely saturated with oil).</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Connan, J., Priestman, S., Vosmer, T., Komoot, A., Tofighian, H., Ghorbani, B., Engel, M.H., Zumberge, A., van de Velde, T., </w:t>
      </w:r>
      <w:r w:rsidR="00616347">
        <w:t xml:space="preserve">2020. </w:t>
      </w:r>
      <w:r w:rsidRPr="004443A9">
        <w:t>Geochemical analysis of bitumen from West Asian torpedo jars from the c. 8th century Phanom-Surin shipwreck in Thailand. Journal of Archaeological Science 117, 105111.</w:t>
      </w:r>
    </w:p>
    <w:p w:rsidR="00DB42FE" w:rsidRPr="004443A9" w:rsidRDefault="00DB42FE" w:rsidP="00616347">
      <w:pPr>
        <w:pStyle w:val="EndNoteBibliography"/>
        <w:ind w:left="360"/>
      </w:pPr>
      <w:r w:rsidRPr="004443A9">
        <w:t>http://www.sciencedirect.com/science/article/pii/S0305440320300340</w:t>
      </w:r>
    </w:p>
    <w:p w:rsidR="00DB42FE" w:rsidRPr="004443A9" w:rsidRDefault="00DB42FE" w:rsidP="00616347">
      <w:pPr>
        <w:pStyle w:val="EndNoteBibliography"/>
        <w:spacing w:after="0"/>
        <w:ind w:left="360"/>
      </w:pPr>
      <w:r w:rsidRPr="004443A9">
        <w:t xml:space="preserve">Organic samples obtained from the interior of fragments of five different torpedo jar vessels found onboard the </w:t>
      </w:r>
      <w:r w:rsidRPr="004443A9">
        <w:rPr>
          <w:i/>
        </w:rPr>
        <w:t>c</w:t>
      </w:r>
      <w:r w:rsidRPr="004443A9">
        <w:t>. 8th century Phanom-Surin shipwreck (Thailand) were selected for geochemical analyses in order to identify the source of the bitumen lining. These samples were compared to bitumen analysed from torpedo jars excavated from various sites in the Persian Gulf and western Indian Ocean: Shaghab, Siniz, Mahroyan, Siraf, Rig Port along the coast of Iran, Sir Bani Yas in Abu Dhabi (UAE) and Anuradhapura in Sri Lanka. The geochemical data comprising biomarker and carbon isotopes on chromatographic fractions were compared to oil seep references from different areas in southern and southwest Iran. To complete the investigation, data on bitumen from several archaeological sites in Iran were used as proxies. Results show that there are two types of Iranian bitumen in the Phanom-Surin samples as well as two distinct varieties of torpedo jars. A potentially older category, represented in the assemblage by a single example, may have been kept in circulation for half a century or more beyond its period of regular use. Our results also indicate that there may be a direct correlation between the different categories of torpedo jar and the respective source of the bitumen. This study documents the links that exist between central Iraq/southwest Iran and Thailand during the 8th century AD.</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lastRenderedPageBreak/>
        <w:t xml:space="preserve">Cui, X., Chen, W., Sigrist, M.W., Fertein, E., Flament, P., De Bondt, K., Mattielli, N., </w:t>
      </w:r>
      <w:r w:rsidR="00616347">
        <w:t xml:space="preserve">2020. </w:t>
      </w:r>
      <w:r w:rsidRPr="004443A9">
        <w:t>Analysis of the stable isotope ratios (</w:t>
      </w:r>
      <w:r w:rsidRPr="004443A9">
        <w:rPr>
          <w:vertAlign w:val="superscript"/>
        </w:rPr>
        <w:t>18</w:t>
      </w:r>
      <w:r w:rsidRPr="004443A9">
        <w:t>O/</w:t>
      </w:r>
      <w:r w:rsidRPr="004443A9">
        <w:rPr>
          <w:vertAlign w:val="superscript"/>
        </w:rPr>
        <w:t>16</w:t>
      </w:r>
      <w:r w:rsidRPr="004443A9">
        <w:t xml:space="preserve">O, </w:t>
      </w:r>
      <w:r w:rsidRPr="004443A9">
        <w:rPr>
          <w:vertAlign w:val="superscript"/>
        </w:rPr>
        <w:t>17</w:t>
      </w:r>
      <w:r w:rsidRPr="004443A9">
        <w:t>O/</w:t>
      </w:r>
      <w:r w:rsidRPr="004443A9">
        <w:rPr>
          <w:vertAlign w:val="superscript"/>
        </w:rPr>
        <w:t>16</w:t>
      </w:r>
      <w:r w:rsidRPr="004443A9">
        <w:t>O, and D/H) in glacier water by laser spectrometry. Analytical Chemistry 92, 4512-4517.</w:t>
      </w:r>
    </w:p>
    <w:p w:rsidR="00DB42FE" w:rsidRPr="004443A9" w:rsidRDefault="00DB42FE" w:rsidP="00616347">
      <w:pPr>
        <w:pStyle w:val="EndNoteBibliography"/>
        <w:ind w:left="360"/>
      </w:pPr>
      <w:r w:rsidRPr="004443A9">
        <w:t>https://doi.org/10.1021/acs.analchem.9b05679</w:t>
      </w:r>
    </w:p>
    <w:p w:rsidR="00DB42FE" w:rsidRPr="004443A9" w:rsidRDefault="00DB42FE" w:rsidP="00616347">
      <w:pPr>
        <w:pStyle w:val="EndNoteBibliography"/>
        <w:spacing w:after="0"/>
        <w:ind w:left="360"/>
      </w:pPr>
      <w:r w:rsidRPr="004443A9">
        <w:t xml:space="preserve">A compact isotope ratio sensor based on laser absorption spectroscopy at 2.7 μm was developed for high precision and simultaneous measurements of the D/H, </w:t>
      </w:r>
      <w:r w:rsidRPr="004443A9">
        <w:rPr>
          <w:vertAlign w:val="superscript"/>
        </w:rPr>
        <w:t>18</w:t>
      </w:r>
      <w:r w:rsidRPr="004443A9">
        <w:t>O/</w:t>
      </w:r>
      <w:r w:rsidRPr="004443A9">
        <w:rPr>
          <w:vertAlign w:val="superscript"/>
        </w:rPr>
        <w:t>16</w:t>
      </w:r>
      <w:r w:rsidRPr="004443A9">
        <w:t xml:space="preserve">O and </w:t>
      </w:r>
      <w:r w:rsidRPr="004443A9">
        <w:rPr>
          <w:vertAlign w:val="superscript"/>
        </w:rPr>
        <w:t>17</w:t>
      </w:r>
      <w:r w:rsidRPr="004443A9">
        <w:t>O/</w:t>
      </w:r>
      <w:r w:rsidRPr="004443A9">
        <w:rPr>
          <w:vertAlign w:val="superscript"/>
        </w:rPr>
        <w:t>16</w:t>
      </w:r>
      <w:r w:rsidRPr="004443A9">
        <w:t>O isotope ratios in glacier water. Measurements of the oxygen and hydrogen isotope ratios in glacier water demonstrate a 1σ precision of 0.3‰ for δ</w:t>
      </w:r>
      <w:r w:rsidRPr="004443A9">
        <w:rPr>
          <w:vertAlign w:val="superscript"/>
        </w:rPr>
        <w:t>18</w:t>
      </w:r>
      <w:r w:rsidRPr="004443A9">
        <w:t>O, 0.2‰ for δ</w:t>
      </w:r>
      <w:r w:rsidRPr="004443A9">
        <w:rPr>
          <w:vertAlign w:val="superscript"/>
        </w:rPr>
        <w:t>17</w:t>
      </w:r>
      <w:r w:rsidRPr="004443A9">
        <w:t>O, and 0.5‰ for δ</w:t>
      </w:r>
      <w:r w:rsidRPr="004443A9">
        <w:rPr>
          <w:vertAlign w:val="superscript"/>
        </w:rPr>
        <w:t>2</w:t>
      </w:r>
      <w:r w:rsidRPr="004443A9">
        <w:t>H, respectively. The δ values of the working standard glacier water obtained by the calibrated sensor system is basically identical to the IRMS measurement results with a very high calibration accuracy from 0.17‰ to 0.75‰. Preliminary results on the reproducibility measurements display a standard deviation of 0.13‰ for δ</w:t>
      </w:r>
      <w:r w:rsidRPr="004443A9">
        <w:rPr>
          <w:vertAlign w:val="superscript"/>
        </w:rPr>
        <w:t>18</w:t>
      </w:r>
      <w:r w:rsidRPr="004443A9">
        <w:t>O, 0.13‰ for δ</w:t>
      </w:r>
      <w:r w:rsidRPr="004443A9">
        <w:rPr>
          <w:vertAlign w:val="superscript"/>
        </w:rPr>
        <w:t>17</w:t>
      </w:r>
      <w:r w:rsidRPr="004443A9">
        <w:t>O, and 0.64‰ for δ</w:t>
      </w:r>
      <w:r w:rsidRPr="004443A9">
        <w:rPr>
          <w:vertAlign w:val="superscript"/>
        </w:rPr>
        <w:t>2</w:t>
      </w:r>
      <w:r w:rsidRPr="004443A9">
        <w:t>H, respectively.</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Damer, B., Deamer, D., </w:t>
      </w:r>
      <w:r w:rsidR="00616347">
        <w:t xml:space="preserve">2020. </w:t>
      </w:r>
      <w:r w:rsidRPr="004443A9">
        <w:t>The hot spring hypothesis for an origin of life. Astrobiology 20, 429-452.</w:t>
      </w:r>
    </w:p>
    <w:p w:rsidR="00DB42FE" w:rsidRPr="004443A9" w:rsidRDefault="00DB42FE" w:rsidP="00616347">
      <w:pPr>
        <w:pStyle w:val="EndNoteBibliography"/>
        <w:ind w:left="360"/>
      </w:pPr>
      <w:r w:rsidRPr="004443A9">
        <w:t>https://doi.org/10.1089/ast.2019.2045</w:t>
      </w:r>
    </w:p>
    <w:p w:rsidR="00DB42FE" w:rsidRPr="004443A9" w:rsidRDefault="00DB42FE" w:rsidP="00616347">
      <w:pPr>
        <w:pStyle w:val="EndNoteBibliography"/>
        <w:ind w:left="360"/>
      </w:pPr>
      <w:r w:rsidRPr="004443A9">
        <w:t xml:space="preserve">We present a testable hypothesis related to an origin of life on land in which fluctuating volcanic hot spring pools play a central role. The hypothesis is based on experimental evidence that lipid-encapsulated polymers can be synthesized by cycles of hydration and dehydration to form protocells. Drawing on metaphors from the bootstrapping of a simple computer operating system, we show how protocells cycling through wet, dry, and moist phases will subject polymers to combinatorial selection and draw structural and catalytic functions out of initially random sequences, including structural stabilization, pore formation, and primitive metabolic activity. We propose that protocells aggregating into a hydrogel in the intermediate moist phase of wet-dry cycles represent a primitive progenote system. Progenote populations can undergo selection and distribution, construct niches in new environments, and enable a sharing network effect that can collectively evolve them into the first microbial communities. Laboratory and field experiments testing the first steps of the scenario are summarized. The scenario is then placed in a geological setting on the early Earth to suggest a plausible pathway from life's origin in chemically optimal freshwater hot spring pools to the emergence of microbial communities tolerant to more extreme conditions in dilute lakes and salty conditions in marine environments. A continuity is observed for biogenesis beginning with simple protocell aggregates, through the transitional form of the progenote, to robust microbial mats that leave the fossil imprints of stromatolites so representative in the rock record. A roadmap to future testing of the hypothesis is presented. We compare the oceanic vent with land-based pool scenarios for an origin of life and explore their implications for subsequent evolution to multicellular life such as plants. We conclude by utilizing the hypothesis to posit where life might also have emerged in habitats such as Mars or Saturn's icy moon Enceladus. </w:t>
      </w:r>
    </w:p>
    <w:p w:rsidR="00DB42FE" w:rsidRPr="004443A9" w:rsidRDefault="00DB42FE" w:rsidP="00616347">
      <w:pPr>
        <w:pStyle w:val="EndNoteBibliography"/>
        <w:spacing w:after="0"/>
        <w:ind w:left="360"/>
      </w:pPr>
      <w:r w:rsidRPr="004443A9">
        <w:t>“To postulate one fortuitously catalyzed reaction, perhaps catalyzed by a metal ion, might be reasonable, but to postulate a suite of them is to appeal to magic.”</w:t>
      </w:r>
    </w:p>
    <w:p w:rsidR="00DB42FE" w:rsidRPr="004443A9" w:rsidRDefault="00DB42FE" w:rsidP="00616347">
      <w:pPr>
        <w:pStyle w:val="EndNoteBibliography"/>
        <w:spacing w:after="0"/>
        <w:ind w:left="360"/>
      </w:pPr>
      <w:r w:rsidRPr="004443A9">
        <w:t>—Leslie Orgel</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Darko, E., Thurbide, K.B., </w:t>
      </w:r>
      <w:r w:rsidR="00616347">
        <w:t xml:space="preserve">2020. </w:t>
      </w:r>
      <w:r w:rsidRPr="004443A9">
        <w:t>Active control of selectivity in organic acid analysis by gas chromatography. Analytica Chimica Acta 1106, 216-223.</w:t>
      </w:r>
    </w:p>
    <w:p w:rsidR="00DB42FE" w:rsidRPr="004443A9" w:rsidRDefault="00DB42FE" w:rsidP="00616347">
      <w:pPr>
        <w:pStyle w:val="EndNoteBibliography"/>
        <w:ind w:left="360"/>
      </w:pPr>
      <w:r w:rsidRPr="004443A9">
        <w:lastRenderedPageBreak/>
        <w:t>http://www.sciencedirect.com/science/article/pii/S0003267020301124</w:t>
      </w:r>
    </w:p>
    <w:p w:rsidR="00DB42FE" w:rsidRPr="004443A9" w:rsidRDefault="00DB42FE" w:rsidP="00616347">
      <w:pPr>
        <w:pStyle w:val="EndNoteBibliography"/>
        <w:spacing w:after="0"/>
        <w:ind w:left="360"/>
      </w:pPr>
      <w:r w:rsidRPr="004443A9">
        <w:t xml:space="preserve">A new method that allows organic acid selectivity to be dynamically controlled during gas chromatography (GC) is presented. It employs dual in-series stainless steel columns, each coated with a pH-adjusted water stationary phase. The first is a 2 m column coated with a pH 11.4 phase that is connected to a second 11 m column coated with a pH 2.2 phase. In this arrangement, organic acids within sample mixtures are trapped on the first column, while the remaining non-ionizable components continue to separate and elute in the system. Later, by injecting a volatile formic acid solution, the trapped acids are released </w:t>
      </w:r>
      <w:r w:rsidRPr="004443A9">
        <w:rPr>
          <w:i/>
        </w:rPr>
        <w:t>in-situ</w:t>
      </w:r>
      <w:r w:rsidRPr="004443A9">
        <w:t xml:space="preserve"> to the second column for separation and analysis as desired. The method provides good reproducibility with analyte retention times in consecutive trials yielding an average RSD of 1.9%. Further, depending on column temperature, analytes can be readily retained for periods investigated up to about 30 min without significant deterioration in peak shape. This feature provides considerable control over analyte selectivity and resolution compared to conventional separations. Further, by adding a third conventional GC column in-series, both typical hydrocarbon and enhanced organic acid separations are made possible. The method is applied to the analysis of complex mixtures and matrix interference is found to be significantly minimized. Results indicate that this approach offers beneficial advantages for the selective GC analysis of such acidic analytes.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Daryasafar, A., Masoudi, M., Kord, S., Madani, M., </w:t>
      </w:r>
      <w:r w:rsidR="00616347">
        <w:t xml:space="preserve">2020. </w:t>
      </w:r>
      <w:r w:rsidRPr="004443A9">
        <w:t>Evaluation of different thermodynamic models in predicting asphaltene precipitation: A comparative study. Fluid Phase Equilibria 514, 112557.</w:t>
      </w:r>
    </w:p>
    <w:p w:rsidR="00DB42FE" w:rsidRPr="004443A9" w:rsidRDefault="00DB42FE" w:rsidP="00616347">
      <w:pPr>
        <w:pStyle w:val="EndNoteBibliography"/>
        <w:ind w:left="360"/>
      </w:pPr>
      <w:r w:rsidRPr="004443A9">
        <w:t>http://www.sciencedirect.com/science/article/pii/S0378381220301035</w:t>
      </w:r>
    </w:p>
    <w:p w:rsidR="00DB42FE" w:rsidRPr="004443A9" w:rsidRDefault="00DB42FE" w:rsidP="00616347">
      <w:pPr>
        <w:pStyle w:val="EndNoteBibliography"/>
        <w:spacing w:after="0"/>
        <w:ind w:left="360"/>
      </w:pPr>
      <w:r w:rsidRPr="004443A9">
        <w:t>One of the major issues in the oil industry is asphaltene precipitation. Modeling asphaltene precipitation is still considered as a complex problem due to various characteristics of different heavy components existing in the crude oil. Thermodynamic models have been found as accurate models for studying asphaltene precipitation in the past few years and a great deal of effort has been devoted to model this process by using different empirical models and equations of state. In this study, the obtained results of asphaltene precipitation from different models based on perturbed-chain statistical associating fluid theory (PC-SAFT), cubic-plus-association (CPA), solid model, Flory-Huggins (FH), and the modified Flory-Huggins (MFH) are compared and their accuracy and reliability are analyzed in detail. For this purpose, twelve crude oil types with different characteristics and asphaltene precipitation behavior are used. Additionally, the performance of the introduced models in predicting asphaltene precipitation during gas injection into the studied oil is investigated. Results demonstrated that PC-SAFT and CPA models have the highest accuracy for both precipitation estimation and behavior trend prediction. Afterward, sensitivity analysis is performed by using Monte-Carlo algorithm for better understanding of the effect of different adjusting parameters, which were used during the tuning process, on each model outputs. Results indicated that cross-association energy between asphaltene and heavy component (HC), self-association energy of asphaltene, and binary interaction coefficient between asphaltene and CO</w:t>
      </w:r>
      <w:r w:rsidRPr="004443A9">
        <w:rPr>
          <w:vertAlign w:val="subscript"/>
        </w:rPr>
        <w:t>2</w:t>
      </w:r>
      <w:r w:rsidRPr="004443A9">
        <w:t xml:space="preserve"> are the most sensitive tuning variables for PC-SAFT, CPA, and solid models, respectively. Finally, the CPU times of various models for simulating this process were compared. This comparison showed that the PC-SAFT model has more computational time due to the involved iterative processes for phase equilibrium calculations.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lastRenderedPageBreak/>
        <w:t xml:space="preserve">Dearing Crampton-Flood, E., Noorbergen, L.J., Smits, D., Boschman, R.C., Donders, T.H., Munsterman, D.K., ten Veen, J., Peterse, F., Lourens, L., Sinninghe Damsté, J.S., </w:t>
      </w:r>
      <w:r w:rsidR="00616347">
        <w:t xml:space="preserve">2020. </w:t>
      </w:r>
      <w:r w:rsidRPr="004443A9">
        <w:t>A new age model for the Pliocene of the southern North Sea basin: a multi-proxy climate reconstruction. Climate of the Past 16, 523-541.</w:t>
      </w:r>
    </w:p>
    <w:p w:rsidR="00DB42FE" w:rsidRPr="004443A9" w:rsidRDefault="00DB42FE" w:rsidP="00616347">
      <w:pPr>
        <w:pStyle w:val="EndNoteBibliography"/>
        <w:ind w:left="360"/>
      </w:pPr>
      <w:r w:rsidRPr="004443A9">
        <w:t>https://www.clim-past.net/16/523/2020/</w:t>
      </w:r>
    </w:p>
    <w:p w:rsidR="00DB42FE" w:rsidRPr="004443A9" w:rsidRDefault="00DB42FE" w:rsidP="00616347">
      <w:pPr>
        <w:pStyle w:val="EndNoteBibliography"/>
        <w:spacing w:after="0"/>
        <w:ind w:left="360"/>
      </w:pPr>
      <w:r w:rsidRPr="004443A9">
        <w:t>The mid-Piacenzian Warm Period (mPWP; 3264–3025 ka) represents the most recent interval in Earth's history where atmospheric CO</w:t>
      </w:r>
      <w:r w:rsidRPr="004443A9">
        <w:rPr>
          <w:vertAlign w:val="subscript"/>
        </w:rPr>
        <w:t>2</w:t>
      </w:r>
      <w:r w:rsidRPr="004443A9">
        <w:t xml:space="preserve"> levels were similar to today. The reconstruction of sea surface temperatures (SSTs) and climate modelling studies has shown that global temperatures were 2–4 </w:t>
      </w:r>
      <w:r w:rsidRPr="004443A9">
        <w:rPr>
          <w:rFonts w:cs="Calibri"/>
          <w:vertAlign w:val="superscript"/>
        </w:rPr>
        <w:t>∘</w:t>
      </w:r>
      <w:r w:rsidRPr="004443A9">
        <w:t>C warmer than present. However, detailed reconstructions of marginal seas and/or coastal zones, linking the coastal and continental climate evolution, are lacking. This is in part due to the absence of precise age models for coastal sedimentary successions, as they are generally formed by dynamic depositional systems with varying sediment and freshwater inputs. Here, we present a multi-proxy record of Pliocene climate change in the coastal southern North Sea basin (SNSB) based on the sedimentary record from borehole Hank, the Netherlands. The marginal marine setting of the Hank borehole during the late Pliocene provides an excellent opportunity to correlate marine and terrestrial signals due to continental sediment input mainly derived from the proto-Rhine–Meuse River. We improve the existing low-resolution palynology-based age model for the Hank borehole using stable oxygen and carbon isotope (</w:t>
      </w:r>
      <w:r w:rsidRPr="004443A9">
        <w:rPr>
          <w:i/>
        </w:rPr>
        <w:t>δ</w:t>
      </w:r>
      <w:r w:rsidRPr="004443A9">
        <w:rPr>
          <w:vertAlign w:val="superscript"/>
        </w:rPr>
        <w:t>18</w:t>
      </w:r>
      <w:r w:rsidRPr="004443A9">
        <w:t xml:space="preserve">O and </w:t>
      </w:r>
      <w:r w:rsidRPr="004443A9">
        <w:rPr>
          <w:i/>
        </w:rPr>
        <w:t>δ</w:t>
      </w:r>
      <w:r w:rsidRPr="004443A9">
        <w:rPr>
          <w:vertAlign w:val="superscript"/>
        </w:rPr>
        <w:t>13</w:t>
      </w:r>
      <w:r w:rsidRPr="004443A9">
        <w:t xml:space="preserve">C) measurements of the endobenthic foraminifera species </w:t>
      </w:r>
      <w:r w:rsidRPr="004443A9">
        <w:rPr>
          <w:i/>
        </w:rPr>
        <w:t>Cassidulina laevigata</w:t>
      </w:r>
      <w:r w:rsidRPr="004443A9">
        <w:t xml:space="preserve">, integrated with biochrono- and seismostratigraphy. Identification of hiatuses and freshwater effects in the record allows us to isolate glacial–interglacial climate signals in order to tune the endobenthic oxygen stable isotope record to a global benthic </w:t>
      </w:r>
      <w:r w:rsidRPr="004443A9">
        <w:rPr>
          <w:i/>
        </w:rPr>
        <w:t>δ</w:t>
      </w:r>
      <w:r w:rsidRPr="004443A9">
        <w:rPr>
          <w:vertAlign w:val="superscript"/>
        </w:rPr>
        <w:t>18</w:t>
      </w:r>
      <w:r w:rsidRPr="004443A9">
        <w:t>O stack. This results in a tuned age framework for the SNSB for the late Pliocene (</w:t>
      </w:r>
      <w:r w:rsidRPr="004443A9">
        <w:rPr>
          <w:rFonts w:ascii="Cambria Math" w:hAnsi="Cambria Math" w:cs="Cambria Math"/>
        </w:rPr>
        <w:t>∼</w:t>
      </w:r>
      <w:r w:rsidRPr="004443A9">
        <w:t>3190</w:t>
      </w:r>
      <w:r w:rsidRPr="004443A9">
        <w:rPr>
          <w:rFonts w:cs="Calibri"/>
        </w:rPr>
        <w:t>–</w:t>
      </w:r>
      <w:r w:rsidRPr="004443A9">
        <w:t>2770</w:t>
      </w:r>
      <w:r w:rsidRPr="004443A9">
        <w:rPr>
          <w:rFonts w:cs="Calibri"/>
        </w:rPr>
        <w:t> </w:t>
      </w:r>
      <w:r w:rsidRPr="004443A9">
        <w:t>ka). Our multi-proxy climate reconstruction for the interval which covers part of the mPWP (</w:t>
      </w:r>
      <w:r w:rsidRPr="004443A9">
        <w:rPr>
          <w:rFonts w:ascii="Cambria Math" w:hAnsi="Cambria Math" w:cs="Cambria Math"/>
        </w:rPr>
        <w:t>∼</w:t>
      </w:r>
      <w:r w:rsidRPr="004443A9">
        <w:t>3190</w:t>
      </w:r>
      <w:r w:rsidRPr="004443A9">
        <w:rPr>
          <w:rFonts w:cs="Calibri"/>
        </w:rPr>
        <w:t>–</w:t>
      </w:r>
      <w:r w:rsidRPr="004443A9">
        <w:t>3000</w:t>
      </w:r>
      <w:r w:rsidRPr="004443A9">
        <w:rPr>
          <w:rFonts w:cs="Calibri"/>
        </w:rPr>
        <w:t> </w:t>
      </w:r>
      <w:r w:rsidRPr="004443A9">
        <w:t>ka) shows a strong agreement between lipid biomarker and palynology-based terrestrial temperature proxies, which suggest a stable climate, 1–2 </w:t>
      </w:r>
      <w:r w:rsidRPr="004443A9">
        <w:rPr>
          <w:rFonts w:cs="Calibri"/>
          <w:vertAlign w:val="superscript"/>
        </w:rPr>
        <w:t>∘</w:t>
      </w:r>
      <w:r w:rsidRPr="004443A9">
        <w:t>C warmer than present. In the marine realm, however, biomarker-based SSTs show a large range of variation (10 </w:t>
      </w:r>
      <w:r w:rsidRPr="004443A9">
        <w:rPr>
          <w:rFonts w:cs="Calibri"/>
          <w:vertAlign w:val="superscript"/>
        </w:rPr>
        <w:t>∘</w:t>
      </w:r>
      <w:r w:rsidRPr="004443A9">
        <w:t>C). Nevertheless, the fluctuation is comparable to other SST records from the North Atlantic and Nordic Seas, suggesting that a common factor, possibly ocean circulation, exerted a strong influence over SSTs in the North Atlantic and the North Sea at this time.</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Demongeot, J., Seligmann, H., </w:t>
      </w:r>
      <w:r w:rsidR="00616347">
        <w:t xml:space="preserve">2020. </w:t>
      </w:r>
      <w:r w:rsidRPr="004443A9">
        <w:t>RNA rings strengthen hairpin accretion hypotheses for tRNA evolution: A reply to commentaries by Z.F. Burton and M. Di Giulio. Journal of Molecular Evolution 88, 243-252.</w:t>
      </w:r>
    </w:p>
    <w:p w:rsidR="00DB42FE" w:rsidRPr="004443A9" w:rsidRDefault="00DB42FE" w:rsidP="00616347">
      <w:pPr>
        <w:pStyle w:val="EndNoteBibliography"/>
        <w:ind w:left="360"/>
      </w:pPr>
      <w:r w:rsidRPr="004443A9">
        <w:t>https://doi.org/10.1007/s00239-020-09929-1</w:t>
      </w:r>
    </w:p>
    <w:p w:rsidR="00DB42FE" w:rsidRPr="004443A9" w:rsidRDefault="00DB42FE" w:rsidP="00616347">
      <w:pPr>
        <w:pStyle w:val="EndNoteBibliography"/>
        <w:spacing w:after="0"/>
        <w:ind w:left="360"/>
      </w:pPr>
      <w:r w:rsidRPr="004443A9">
        <w:t xml:space="preserve">Theoretical minimal RNA ring design ensures coding over the shortest length once for each coding signal (start and stop codons, and each amino acid) and their hairpin configuration. These constraints define 25 RNA rings which surprisingly resemble ancestral tRNA loops, suggesting commonalities between RNA ring design and proto-tRNAs. RNA rings share several other properties with tRNAs, suggesting that primordial RNAs were multifunctional peptide coding sequences and structural RNAs. Two hypotheses, respectively, by M. Di Giulio and Z.F. Burton, derived from cloverleaf structural symmetries suggest that two and three, respectively, stem-loop hairpins agglutinated into tRNAs. Their authors commented that their respective structure-based hypotheses reflect better tRNA structure than RNA rings. Unlike these hypotheses, RNA ring design uses no tRNA-derived information, rendering model predictive power comparisons senseless. Some analyses </w:t>
      </w:r>
      <w:r w:rsidRPr="004443A9">
        <w:lastRenderedPageBreak/>
        <w:t>of RNA ring primary and secondary structures stress RNA ring splicing in their predicted anticodon's midst, indicating ancestrality of split tRNAs, as the two-piece model predicts. Advancement of knowledge, rather than of specific hypotheses, gains foremost by examining independent hypotheses for commonalities, and only secondarily for discordances. RNA rings mimick ancestral biomolecules including tRNAs, and their evolution, and constitute an interesting synthetic system for early prebiotic evolution tests/simulations.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Der Sarkissian, C., Möller, P., Hofman, C.A., Ilsøe, P., Rick, T.C., Schiøtte, T., Sørensen, M.V., Dalén, L., Orlando, L., </w:t>
      </w:r>
      <w:r w:rsidR="00616347">
        <w:t xml:space="preserve">2020. </w:t>
      </w:r>
      <w:r w:rsidRPr="004443A9">
        <w:t>Unveiling the ecological applications of ancient DNA from mollusk shells. Frontiers in Ecology and Evolution 8, 37. doi: 10.3389/fevo.2020.00037.</w:t>
      </w:r>
    </w:p>
    <w:p w:rsidR="00DB42FE" w:rsidRPr="004443A9" w:rsidRDefault="00DB42FE" w:rsidP="00616347">
      <w:pPr>
        <w:pStyle w:val="EndNoteBibliography"/>
        <w:ind w:left="360"/>
      </w:pPr>
      <w:r w:rsidRPr="004443A9">
        <w:t>https://www.frontiersin.org/article/10.3389/fevo.2020.00037</w:t>
      </w:r>
    </w:p>
    <w:p w:rsidR="00DB42FE" w:rsidRPr="004443A9" w:rsidRDefault="00DB42FE" w:rsidP="00616347">
      <w:pPr>
        <w:pStyle w:val="EndNoteBibliography"/>
        <w:spacing w:after="0"/>
        <w:ind w:left="360"/>
      </w:pPr>
      <w:r w:rsidRPr="004443A9">
        <w:t xml:space="preserve">The shells of marine mollusks represent promising metagenomic archives of the past, adding to bones, teeth, hairs, and environmental samples most commonly examined in ancient DNA research. Seminal work has established that DNA recovery from marine mollusk shells depends on their microstructure, preservation and disease state, and that authentic ancient DNA could be retrieved from specimens as old as 7,000 years. Here, we significantly push the temporal limit for shell DNA recovery to ≥100,000 years with the successful genetic characterization of one </w:t>
      </w:r>
      <w:r w:rsidRPr="004443A9">
        <w:rPr>
          <w:i/>
        </w:rPr>
        <w:t>Portlandia arctica</w:t>
      </w:r>
      <w:r w:rsidRPr="004443A9">
        <w:t xml:space="preserve"> and one </w:t>
      </w:r>
      <w:r w:rsidRPr="004443A9">
        <w:rPr>
          <w:i/>
        </w:rPr>
        <w:t>Mytilus</w:t>
      </w:r>
      <w:r w:rsidRPr="004443A9">
        <w:t xml:space="preserve"> mussel sample collected within a dated permafrost layer from the Taimyr Peninsula, Russia. We expand the analysis of ancient DNA in carbonate shells to a larger number of genera (</w:t>
      </w:r>
      <w:r w:rsidRPr="004443A9">
        <w:rPr>
          <w:i/>
        </w:rPr>
        <w:t>Arctica</w:t>
      </w:r>
      <w:r w:rsidRPr="004443A9">
        <w:t xml:space="preserve">, </w:t>
      </w:r>
      <w:r w:rsidRPr="004443A9">
        <w:rPr>
          <w:i/>
        </w:rPr>
        <w:t>Cernuella</w:t>
      </w:r>
      <w:r w:rsidRPr="004443A9">
        <w:t xml:space="preserve">, </w:t>
      </w:r>
      <w:r w:rsidRPr="004443A9">
        <w:rPr>
          <w:i/>
        </w:rPr>
        <w:t>Crassostrea</w:t>
      </w:r>
      <w:r w:rsidRPr="004443A9">
        <w:t xml:space="preserve">, </w:t>
      </w:r>
      <w:r w:rsidRPr="004443A9">
        <w:rPr>
          <w:i/>
        </w:rPr>
        <w:t>Dreissena</w:t>
      </w:r>
      <w:r w:rsidRPr="004443A9">
        <w:t xml:space="preserve">, </w:t>
      </w:r>
      <w:r w:rsidRPr="004443A9">
        <w:rPr>
          <w:i/>
        </w:rPr>
        <w:t>Haliotis</w:t>
      </w:r>
      <w:r w:rsidRPr="004443A9">
        <w:t xml:space="preserve">, </w:t>
      </w:r>
      <w:r w:rsidRPr="004443A9">
        <w:rPr>
          <w:i/>
        </w:rPr>
        <w:t>Lymnaea</w:t>
      </w:r>
      <w:r w:rsidRPr="004443A9">
        <w:t xml:space="preserve">, </w:t>
      </w:r>
      <w:r w:rsidRPr="004443A9">
        <w:rPr>
          <w:i/>
        </w:rPr>
        <w:t>Margaritifera</w:t>
      </w:r>
      <w:r w:rsidRPr="004443A9">
        <w:t xml:space="preserve">, </w:t>
      </w:r>
      <w:r w:rsidRPr="004443A9">
        <w:rPr>
          <w:i/>
        </w:rPr>
        <w:t>Pecten</w:t>
      </w:r>
      <w:r w:rsidRPr="004443A9">
        <w:t xml:space="preserve">, </w:t>
      </w:r>
      <w:r w:rsidRPr="004443A9">
        <w:rPr>
          <w:i/>
        </w:rPr>
        <w:t>Ruditapes</w:t>
      </w:r>
      <w:r w:rsidRPr="004443A9">
        <w:t xml:space="preserve">, </w:t>
      </w:r>
      <w:r w:rsidRPr="004443A9">
        <w:rPr>
          <w:i/>
        </w:rPr>
        <w:t>Venerupis</w:t>
      </w:r>
      <w:r w:rsidRPr="004443A9">
        <w:t>) from marine, freshwater and terrestrial environments. We demonstrate that DNA from ancient shells can provide sufficient resolution for taxonomic, phylogenetic and/or population assignment. Our results confirm mollusk shells as long-term DNA reservoirs, opening new avenues for the investigation of environmental changes, commercial species management, biological invasion, and extinction. This is especially timely in light of modern threats to biodiversity and ecosystems.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Di Giulio, M., </w:t>
      </w:r>
      <w:r w:rsidR="00616347">
        <w:t xml:space="preserve">2020. </w:t>
      </w:r>
      <w:r w:rsidRPr="004443A9">
        <w:t>An RNA ring was not the progenitor of the tRNA nolecule. Journal of Molecular Evolution 88, 228-233.</w:t>
      </w:r>
    </w:p>
    <w:p w:rsidR="00DB42FE" w:rsidRPr="004443A9" w:rsidRDefault="00DB42FE" w:rsidP="00616347">
      <w:pPr>
        <w:pStyle w:val="EndNoteBibliography"/>
        <w:ind w:left="360"/>
      </w:pPr>
      <w:r w:rsidRPr="004443A9">
        <w:t>https://doi.org/10.1007/s00239-020-09927-3</w:t>
      </w:r>
    </w:p>
    <w:p w:rsidR="00DB42FE" w:rsidRPr="004443A9" w:rsidRDefault="00DB42FE" w:rsidP="00616347">
      <w:pPr>
        <w:pStyle w:val="EndNoteBibliography"/>
        <w:spacing w:after="0"/>
        <w:ind w:left="360"/>
      </w:pPr>
      <w:r w:rsidRPr="004443A9">
        <w:t>I analyzed the model that suggests that an RNA ring might have been the progenitor of the tRNA molecule (Demongeot and Moreira in J Theor Biol 249:314–324, 2007; Demongeot and Seligmann in J Mol Evol 1–23, 2019a; Demongeot and Norris in Life 9(2):51, 2019). In particular, I analyze three ways in which this precursor, especially in its RNA hairpin form, could have evolved into the complete tRNA molecule. These three modalities are based on multiple duplication events, and therefore, appear to be less parsimonious than that which assumes that this molecule originated through one duplication of a single hairpin structure. The conclusion is, therefore, that the latter model appears to be preferable with respect to that of the RNA ring, also because there are many independent observations and some of a historical nature that would corroborate it in an extraordinary way.</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lastRenderedPageBreak/>
        <w:t xml:space="preserve">Di, S., Ning, T., Yu, J., Chen, P., Yu, H., Wang, J., Yang, H., Zhu, S., </w:t>
      </w:r>
      <w:r w:rsidR="00616347">
        <w:t xml:space="preserve">2020. </w:t>
      </w:r>
      <w:r w:rsidRPr="004443A9">
        <w:t>Recent advances and applications of magnetic nanomaterials in environmental sample analysis. TrAC Trends in Analytical Chemistry 126, 115864.</w:t>
      </w:r>
    </w:p>
    <w:p w:rsidR="00DB42FE" w:rsidRPr="004443A9" w:rsidRDefault="00DB42FE" w:rsidP="00616347">
      <w:pPr>
        <w:pStyle w:val="EndNoteBibliography"/>
        <w:ind w:left="360"/>
      </w:pPr>
      <w:r w:rsidRPr="004443A9">
        <w:t>http://www.sciencedirect.com/science/article/pii/S0165993620300935</w:t>
      </w:r>
    </w:p>
    <w:p w:rsidR="00DB42FE" w:rsidRPr="004443A9" w:rsidRDefault="00DB42FE" w:rsidP="00616347">
      <w:pPr>
        <w:pStyle w:val="EndNoteBibliography"/>
        <w:spacing w:after="0"/>
        <w:ind w:left="360"/>
      </w:pPr>
      <w:r w:rsidRPr="004443A9">
        <w:t>The discovery of magnetic nanomaterials has bestowed a tremendous impact on the improvement and development of many disciplines, including analytical chemistry because their special properties make them very suitable for wide applications. Owing to their superparamagnetism, selective adsorption ability as well as easy separation and surface modification, these unique nanomaterials unfold excellent performance in extracting and enriching a variety of target analytes. When coupled with gas chromatography-mass spectrometry, high-performance liquid chromatography-mass spectrometry and other instrumental analysis techniques, it will enable the detection and identification of trace pollutants in a single and rapid analysis. This review article gives an insight into recent advances in the synthesis, modification and application of magnetic nanomaterials for the preconcentration of environmental pollutants.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Dietzel, M., Purgstaller, B., Kluge, T., Leis, A., Mavromatis, V., </w:t>
      </w:r>
      <w:r w:rsidR="00616347">
        <w:t xml:space="preserve">2020. </w:t>
      </w:r>
      <w:r w:rsidRPr="004443A9">
        <w:t>Oxygen and clumped isotope fractionation during the formation of Mg calcite via an amorphous precursor. Geochimica et Cosmochimica Acta 276, 258-273.</w:t>
      </w:r>
    </w:p>
    <w:p w:rsidR="00DB42FE" w:rsidRPr="004443A9" w:rsidRDefault="00DB42FE" w:rsidP="00616347">
      <w:pPr>
        <w:pStyle w:val="EndNoteBibliography"/>
        <w:ind w:left="360"/>
      </w:pPr>
      <w:r w:rsidRPr="004443A9">
        <w:t>http://www.sciencedirect.com/science/article/pii/S0016703720301538</w:t>
      </w:r>
    </w:p>
    <w:p w:rsidR="00DB42FE" w:rsidRPr="004443A9" w:rsidRDefault="00DB42FE" w:rsidP="00616347">
      <w:pPr>
        <w:pStyle w:val="EndNoteBibliography"/>
        <w:spacing w:after="0"/>
        <w:ind w:left="360"/>
      </w:pPr>
      <w:r w:rsidRPr="004443A9">
        <w:t>The oxygen and clumped isotope signatures of Mg calcites are routinely used as environmental proxies in a broad range of surroundings, where Mg calcite forms either by classical nucleation or via an amorphous calcium magnesium carbonate (ACMC) precursor. Although the (trans)formation of ACMC to Mg calcite has been identified for an increasing number of settings, the behavior of both isotope proxies throughout this stage is still unexplored. In the present study ACMC (trans)formation experiments were carried out at constant pH (8.30 ± 0.03) and temperature (25.00 ± 0.03 °C) to yield high Mg calcite (up to 20 mol% Mg). The experimental data indicate that the oxygen isotope values of the amorphous and/or crystalline precipitate (δ</w:t>
      </w:r>
      <w:r w:rsidRPr="004443A9">
        <w:rPr>
          <w:vertAlign w:val="superscript"/>
        </w:rPr>
        <w:t>18</w:t>
      </w:r>
      <w:r w:rsidRPr="004443A9">
        <w:t>O</w:t>
      </w:r>
      <w:r w:rsidRPr="004443A9">
        <w:rPr>
          <w:vertAlign w:val="subscript"/>
        </w:rPr>
        <w:t>prec</w:t>
      </w:r>
      <w:r w:rsidRPr="004443A9">
        <w:t>, analyzed as Mg calcite) are affected by the (trans)formation pathway, whereas clumped isotopes (Δ</w:t>
      </w:r>
      <w:r w:rsidRPr="004443A9">
        <w:rPr>
          <w:vertAlign w:val="subscript"/>
        </w:rPr>
        <w:t>47prec</w:t>
      </w:r>
      <w:r w:rsidRPr="004443A9">
        <w:t> = Δ</w:t>
      </w:r>
      <w:r w:rsidRPr="004443A9">
        <w:rPr>
          <w:vertAlign w:val="subscript"/>
        </w:rPr>
        <w:t>47Mg-calcite</w:t>
      </w:r>
      <w:r w:rsidRPr="004443A9">
        <w:t>) are not. The oxygen isotope evolution of the solid phase can be explained by the instantaneous trapping of the isotopic composition of the aqueous (bi)carbonate complexes. This entrapment results in remarkably high 10</w:t>
      </w:r>
      <w:r w:rsidRPr="004443A9">
        <w:rPr>
          <w:vertAlign w:val="superscript"/>
        </w:rPr>
        <w:t>3</w:t>
      </w:r>
      <w:r w:rsidRPr="004443A9">
        <w:t>ln(α</w:t>
      </w:r>
      <w:r w:rsidRPr="004443A9">
        <w:rPr>
          <w:vertAlign w:val="subscript"/>
        </w:rPr>
        <w:t>prec-H2O</w:t>
      </w:r>
      <w:r w:rsidRPr="004443A9">
        <w:t xml:space="preserve">) values of </w:t>
      </w:r>
      <w:r w:rsidRPr="004443A9">
        <w:rPr>
          <w:rFonts w:ascii="Cambria Math" w:hAnsi="Cambria Math" w:cs="Cambria Math"/>
        </w:rPr>
        <w:t>∼</w:t>
      </w:r>
      <w:r w:rsidRPr="004443A9">
        <w:t>33</w:t>
      </w:r>
      <w:r w:rsidRPr="004443A9">
        <w:rPr>
          <w:rFonts w:cs="Calibri"/>
        </w:rPr>
        <w:t>‰</w:t>
      </w:r>
      <w:r w:rsidRPr="004443A9">
        <w:t xml:space="preserve"> at the initial ACMC formation stage. During the ACMC transformation process the oxygen isotope equilibrium is approached rapidly between Mg calcite and water (Δ</w:t>
      </w:r>
      <w:r w:rsidRPr="004443A9">
        <w:rPr>
          <w:vertAlign w:val="superscript"/>
        </w:rPr>
        <w:t>18</w:t>
      </w:r>
      <w:r w:rsidRPr="004443A9">
        <w:t>O</w:t>
      </w:r>
      <w:r w:rsidRPr="004443A9">
        <w:rPr>
          <w:vertAlign w:val="subscript"/>
        </w:rPr>
        <w:t>Mg calcite-water</w:t>
      </w:r>
      <w:r w:rsidRPr="004443A9">
        <w:t> = 30.3 ± 0.4‰) and no isotopic memory of the initial to the final Mg calcite at the end of the experiment occurs. The implications for oxygen and clumped isotope signatures of Mg calcite formed via ACMC are discussed in the aspects of various scenarios of (trans)formation conditions and their use as environmental proxies.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Díez, J., Moreno, G., Del Peral, L., Adams, J.H., Rodríguez Frías, M.D., Manjón, J.L., </w:t>
      </w:r>
      <w:r w:rsidR="00616347">
        <w:t xml:space="preserve">2020. </w:t>
      </w:r>
      <w:r w:rsidRPr="004443A9">
        <w:rPr>
          <w:i/>
        </w:rPr>
        <w:t xml:space="preserve">Fuligo septica </w:t>
      </w:r>
      <w:r w:rsidRPr="004443A9">
        <w:t>spores onboard a stratospheric NASA balloon and its complete</w:t>
      </w:r>
      <w:r w:rsidRPr="004443A9">
        <w:rPr>
          <w:i/>
        </w:rPr>
        <w:t xml:space="preserve"> in vitro</w:t>
      </w:r>
      <w:r w:rsidRPr="004443A9">
        <w:t xml:space="preserve"> life cycle. Astrobiology 20, 394-404.</w:t>
      </w:r>
    </w:p>
    <w:p w:rsidR="00DB42FE" w:rsidRPr="004443A9" w:rsidRDefault="00DB42FE" w:rsidP="00616347">
      <w:pPr>
        <w:pStyle w:val="EndNoteBibliography"/>
        <w:ind w:left="360"/>
      </w:pPr>
      <w:r w:rsidRPr="004443A9">
        <w:t>https://doi.org/10.1089/ast.2019.2097</w:t>
      </w:r>
    </w:p>
    <w:p w:rsidR="00DB42FE" w:rsidRPr="004443A9" w:rsidRDefault="00DB42FE" w:rsidP="00616347">
      <w:pPr>
        <w:pStyle w:val="EndNoteBibliography"/>
        <w:spacing w:after="0"/>
        <w:ind w:left="360"/>
      </w:pPr>
      <w:r w:rsidRPr="004443A9">
        <w:lastRenderedPageBreak/>
        <w:t xml:space="preserve">The aim of this study was to demonstrate for the first time </w:t>
      </w:r>
      <w:r w:rsidRPr="004443A9">
        <w:rPr>
          <w:i/>
        </w:rPr>
        <w:t>Fuligo septica</w:t>
      </w:r>
      <w:r w:rsidRPr="004443A9">
        <w:t xml:space="preserve"> spore viability in the stratosphere through spore germination and its complete life cycle. These protozoan spores were flown by the National Aeronautics and Space Administration (NASA) Columbia Scientific Balloon Facility (CSBF) flight 667NT, launched from its base in Fort Sumner, New Mexico. </w:t>
      </w:r>
      <w:r w:rsidRPr="004443A9">
        <w:rPr>
          <w:i/>
        </w:rPr>
        <w:t>F. septica</w:t>
      </w:r>
      <w:r w:rsidRPr="004443A9">
        <w:t xml:space="preserve"> spores were exposed to stratospheric conditions on board the NASA/CSBF 667 balloon flight for 9 h. The spores obtained after the flight and those from the control box that stayed at ground maintained the same size and morphology, as will be shown in this work. The spores retained viability, and all life cycle stages were obtained by </w:t>
      </w:r>
      <w:r w:rsidRPr="004443A9">
        <w:rPr>
          <w:i/>
        </w:rPr>
        <w:t>in vitro</w:t>
      </w:r>
      <w:r w:rsidRPr="004443A9">
        <w:t xml:space="preserve"> culture. Moreover, some life cycle events were observed for the first time in </w:t>
      </w:r>
      <w:r w:rsidRPr="004443A9">
        <w:rPr>
          <w:i/>
        </w:rPr>
        <w:t>F. septica</w:t>
      </w:r>
      <w:r w:rsidRPr="004443A9">
        <w:t xml:space="preserve">. </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Dighe, B., Singh, M.R., </w:t>
      </w:r>
      <w:r w:rsidR="00616347">
        <w:t xml:space="preserve">2020. </w:t>
      </w:r>
      <w:r w:rsidRPr="004443A9">
        <w:t>Initial evidence of plant and animal-origin organic additives from the second-century BCE earthen plaster of rock-cut caves of Karla, India. Archaeometry 62, 381-394.</w:t>
      </w:r>
    </w:p>
    <w:p w:rsidR="00DB42FE" w:rsidRPr="004443A9" w:rsidRDefault="00DB42FE" w:rsidP="00616347">
      <w:pPr>
        <w:pStyle w:val="EndNoteBibliography"/>
        <w:ind w:left="360"/>
      </w:pPr>
      <w:r w:rsidRPr="004443A9">
        <w:t>https://doi.org/10.1111/arcm.12522</w:t>
      </w:r>
    </w:p>
    <w:p w:rsidR="00DB42FE" w:rsidRPr="004443A9" w:rsidRDefault="00DB42FE" w:rsidP="00616347">
      <w:pPr>
        <w:pStyle w:val="EndNoteBibliography"/>
        <w:spacing w:after="0"/>
        <w:ind w:left="360"/>
      </w:pPr>
      <w:r w:rsidRPr="004443A9">
        <w:t xml:space="preserve">Analytical investigations through phytochemical screening, scanning electron microscope (SEM) and light microscopic observation of the earthen plaster of Karla Caves of western India identified the presence of antifungal, antibacterial and insect repellent </w:t>
      </w:r>
      <w:r w:rsidRPr="004443A9">
        <w:rPr>
          <w:i/>
        </w:rPr>
        <w:t>Careya arborea</w:t>
      </w:r>
      <w:r w:rsidRPr="004443A9">
        <w:t xml:space="preserve"> stem fibres as a vegetal additive. The scanning electron microscopy with energy‐dispersive X‐ray spectrometry (SEM‐EDX) study also revealed the inclusion of rice (</w:t>
      </w:r>
      <w:r w:rsidRPr="004443A9">
        <w:rPr>
          <w:i/>
        </w:rPr>
        <w:t>Oryza sativa</w:t>
      </w:r>
      <w:r w:rsidRPr="004443A9">
        <w:t xml:space="preserve">) husk as a plant additive in the plaster. In the high rain‐fed coastal regions of western India, the antimicrobial, antioxidant and termite‐resistance properties of </w:t>
      </w:r>
      <w:r w:rsidRPr="004443A9">
        <w:rPr>
          <w:i/>
        </w:rPr>
        <w:t>C. arborea</w:t>
      </w:r>
      <w:r w:rsidRPr="004443A9">
        <w:t xml:space="preserve"> helped the survival of the plaster in unfavourable climatic conditions. Besides, the </w:t>
      </w:r>
      <w:r w:rsidRPr="004443A9">
        <w:rPr>
          <w:i/>
        </w:rPr>
        <w:t>C. arborea</w:t>
      </w:r>
      <w:r w:rsidRPr="004443A9">
        <w:t xml:space="preserve"> and rice husk together played a role in reducing cracks, decreasing the density, and imparting a plasticity and a durability to the plaster. The liquid Fourier‐transform infrared spectrometer (FTIR) of organic extracts revealed carboxylic acid (fatty acids)‐based additives in the earthen plaster. From the gas chromatography‐mass spectrometry (GC‐MS) analysis of the plaster, the presence of animal milk fat, animal and vegetable fat, and vegetable oil was identified, and probably used to strengthen the earthen plaster for their resistance to tensile stress. The analysis also diagnoses the inclusion of methyl commate B, a resinous material obtained from the Burseraceae plant family, which has antimicrobial properties, through GC‐MS analysis.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Dimandja, J.M.D., </w:t>
      </w:r>
      <w:r w:rsidR="00616347">
        <w:t xml:space="preserve">2020. </w:t>
      </w:r>
      <w:r w:rsidRPr="004443A9">
        <w:t>Chapter 1 - Introduction and historical background: the “inside” story of comprehensive two-dimensional gas chromatography, in: Snow, N.H. (Ed.), Separation Science and Technology. Academic Press, pp. 1-40.</w:t>
      </w:r>
    </w:p>
    <w:p w:rsidR="00DB42FE" w:rsidRPr="004443A9" w:rsidRDefault="00DB42FE" w:rsidP="00616347">
      <w:pPr>
        <w:pStyle w:val="EndNoteBibliography"/>
        <w:ind w:left="360"/>
      </w:pPr>
      <w:r w:rsidRPr="004443A9">
        <w:t>http://www.sciencedirect.com/science/article/pii/B9780128137451000015</w:t>
      </w:r>
    </w:p>
    <w:p w:rsidR="00DB42FE" w:rsidRPr="004443A9" w:rsidRDefault="00DB42FE" w:rsidP="00616347">
      <w:pPr>
        <w:pStyle w:val="EndNoteBibliography"/>
        <w:spacing w:after="0"/>
        <w:ind w:left="360"/>
      </w:pPr>
      <w:r w:rsidRPr="004443A9">
        <w:t xml:space="preserve">Comprehensive two-dimensional gas chromatography (GC×GC) is an emerging technology that has ushered an exciting new era in GC applications development. GC×GC methods provide enhanced separation power over conventional GC analyses, which is a significant advantage for the qualitative and quantitative analysis of target compounds. GC×GC separations are also structured, due to the fact that the separations in both dimensions are the result of physicochemical properties that are dependent on molecular structure. Conventional 1D GC separations are structured as well, but the complexity of the sample often prevents the deciphering of these patterns. The “untangling” of these ordered molecular fingerprints in the bidimensional plane is emerging as the true power of the GC×GC technology, and the nature of these structured separations holds a lot of promise for development of novel ways of identifying unknown compounds in complex samples. This chapter </w:t>
      </w:r>
      <w:r w:rsidRPr="004443A9">
        <w:lastRenderedPageBreak/>
        <w:t>provides an overview of the key technological advances that contributed to the invention of GC×GC, which include the maturation of 2D separation science theory, the invention of fused-silica GC columns, and the development of cross-correlation data processing techniques in analytical chemistry. An overview of the invention and early evolution of GC×GC in the Phillips laboratory is also given in the context of the development of a suite of applications of on-column modulation instrumentation, which was the overarching theme of the pioneering research group.</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Dixon, L.J., Hopkins, E.F., Stephens, A.J., Schäfer, H., </w:t>
      </w:r>
      <w:r w:rsidR="00616347">
        <w:t xml:space="preserve">2020. </w:t>
      </w:r>
      <w:r w:rsidRPr="004443A9">
        <w:t>Seasonal changes in microbial dissolved organic sulfur transformations in coastal waters. Microorganisms 8, 337.</w:t>
      </w:r>
    </w:p>
    <w:p w:rsidR="00DB42FE" w:rsidRPr="004443A9" w:rsidRDefault="00DB42FE" w:rsidP="00616347">
      <w:pPr>
        <w:pStyle w:val="EndNoteBibliography"/>
        <w:ind w:left="360"/>
      </w:pPr>
      <w:r w:rsidRPr="004443A9">
        <w:t>https://doi.org/10.3390/microorganisms8030337</w:t>
      </w:r>
    </w:p>
    <w:p w:rsidR="00DB42FE" w:rsidRPr="004443A9" w:rsidRDefault="00DB42FE" w:rsidP="00616347">
      <w:pPr>
        <w:pStyle w:val="EndNoteBibliography"/>
        <w:spacing w:after="0"/>
        <w:ind w:left="360"/>
      </w:pPr>
      <w:r w:rsidRPr="004443A9">
        <w:t>The marine trace gas dimethylsulfide (DMS) is the single most important biogenic source of atmospheric sulfur, accounting for up to 80% of global biogenic sulfur emissions. Approximately 300 million tons of DMS are produced annually, but the majority is degraded by microbes in seawater. The DMS precursor dimethylsulfoniopropionate (DMSP) and oxidation product dimethylsulphoxide (DMSO) are also important organic sulfur reservoirs. However, the marine sinks of dissolved DMSO remain unknown. We used a novel combination of stable and radiotracers to determine seasonal changes in multiple dissolved organic sulfur transformation rates to ascertain whether microbial uptake of dissolved DMSO was a significant loss pathway. Surface concentrations of DMS ranged from 0.5 to 17.0 nM with biological consumption rates between 2.4 and 40.8 nM·d</w:t>
      </w:r>
      <w:r w:rsidRPr="004443A9">
        <w:rPr>
          <w:vertAlign w:val="superscript"/>
        </w:rPr>
        <w:t>−1</w:t>
      </w:r>
      <w:r w:rsidRPr="004443A9">
        <w:t>. DMS produced from the reduction of DMSO was not a significant process. Surface concentrations of total DMSO ranged from 2.3 to 102 nM with biological consumption of dissolved DMSO between 2.9 and 111 nM·d</w:t>
      </w:r>
      <w:r w:rsidRPr="004443A9">
        <w:rPr>
          <w:vertAlign w:val="superscript"/>
        </w:rPr>
        <w:t>−1</w:t>
      </w:r>
      <w:r w:rsidRPr="004443A9">
        <w:t xml:space="preserve">. Comparisons between </w:t>
      </w:r>
      <w:r w:rsidRPr="004443A9">
        <w:rPr>
          <w:vertAlign w:val="superscript"/>
        </w:rPr>
        <w:t>14</w:t>
      </w:r>
      <w:r w:rsidRPr="004443A9">
        <w:t>C</w:t>
      </w:r>
      <w:r w:rsidRPr="004443A9">
        <w:rPr>
          <w:vertAlign w:val="subscript"/>
        </w:rPr>
        <w:t>2</w:t>
      </w:r>
      <w:r w:rsidRPr="004443A9">
        <w:t>-DMSO assimilation and dissimilation rates suggest that the majority of dissolved DMSO was respired (&gt;94%). Radiotracer microbial consumption rates suggest that dissimilation of dissolved DMSO to CO</w:t>
      </w:r>
      <w:r w:rsidRPr="004443A9">
        <w:rPr>
          <w:vertAlign w:val="subscript"/>
        </w:rPr>
        <w:t>2</w:t>
      </w:r>
      <w:r w:rsidRPr="004443A9">
        <w:t xml:space="preserve"> can be a significant loss pathway in coastal waters, illustrating the significance of bacteria in controlling organic sulfur seawater concentrations. </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Douglas, A.E., </w:t>
      </w:r>
      <w:r w:rsidR="00616347">
        <w:t xml:space="preserve">2020. </w:t>
      </w:r>
      <w:r w:rsidRPr="004443A9">
        <w:t>The microbial exometabolome: ecological resource and architect of microbial communities. Philosophical Transactions of the Royal Society B: Biological Sciences 375, 20190250.</w:t>
      </w:r>
    </w:p>
    <w:p w:rsidR="00DB42FE" w:rsidRPr="004443A9" w:rsidRDefault="00DB42FE" w:rsidP="00616347">
      <w:pPr>
        <w:pStyle w:val="EndNoteBibliography"/>
        <w:ind w:left="360"/>
      </w:pPr>
      <w:r w:rsidRPr="004443A9">
        <w:t>https://doi.org/10.1098/rstb.2019.0250</w:t>
      </w:r>
    </w:p>
    <w:p w:rsidR="00DB42FE" w:rsidRPr="004443A9" w:rsidRDefault="00DB42FE" w:rsidP="00616347">
      <w:pPr>
        <w:pStyle w:val="EndNoteBibliography"/>
        <w:spacing w:after="0"/>
        <w:ind w:left="360"/>
      </w:pPr>
      <w:r w:rsidRPr="004443A9">
        <w:t xml:space="preserve">All microorganisms release many metabolites, collectively known as the exometabolome. The resultant multi-way cross-feeding of metabolites among microorganisms distributes resources, thereby increasing total biomass of the microbial community, and promotes the recruitment and persistence of phylogenetically and functionally diverse taxa in microbial communities. Metabolite transfer can also select for evolutionary diversification, yielding multiple closely related but functionally distinct strains. Depending on starting conditions, the evolved strains may be auxotrophs requiring metabolic outputs from producer cells or, alternatively, display loss of complementary reactions in metabolic pathways, with increased metabolic efficiency. Metabolite cross-feeding is widespread in many microbial communities associated with animals and plants, including the animal gut microbiome, and these metabolic interactions can yield products valuable to the host. However, metabolite exchange between pairs of intracellular microbial taxa that share the same host cell or organ can be very limited compared to pairs of free-living microorganisms, perhaps as a consequence of host controls over the metabolic function of intracellular microorganisms. Priorities for future research include the development of tools for improved </w:t>
      </w:r>
      <w:r w:rsidRPr="004443A9">
        <w:lastRenderedPageBreak/>
        <w:t>quantification of metabolite exchange in complex communities and greater integration of the roles of metabolic cross-feeding and other ecological processes, including priority effects and antagonistic interactions, in shaping microbial communities.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Douglas, P.M.J., Gonzalez Moguel, R., Walter Anthony, K.M., Wik, M., Crill, P.M., Dawson, K.S., Smith, D.A., Yanay, E., Lloyd, M.K., Stolper, D.A., Eiler, J.M., Sessions, A.L., </w:t>
      </w:r>
      <w:r w:rsidR="00616347">
        <w:t xml:space="preserve">2020. </w:t>
      </w:r>
      <w:r w:rsidRPr="004443A9">
        <w:t>Clumped isotopes link older carbon substrates with slower rates of methanogenesis in northern lakes. Geophysical Research Letters 47, e2019GL086756.</w:t>
      </w:r>
    </w:p>
    <w:p w:rsidR="00DB42FE" w:rsidRPr="004443A9" w:rsidRDefault="00DB42FE" w:rsidP="00616347">
      <w:pPr>
        <w:pStyle w:val="EndNoteBibliography"/>
        <w:ind w:left="360"/>
      </w:pPr>
      <w:r w:rsidRPr="004443A9">
        <w:t>https://doi.org/10.1029/2019GL086756</w:t>
      </w:r>
    </w:p>
    <w:p w:rsidR="00DB42FE" w:rsidRPr="004443A9" w:rsidRDefault="00DB42FE" w:rsidP="00616347">
      <w:pPr>
        <w:pStyle w:val="EndNoteBibliography"/>
        <w:ind w:left="360"/>
      </w:pPr>
      <w:r w:rsidRPr="004443A9">
        <w:t>Abstract: The release of long‐stored carbon from thawed permafrost could fuel increased methanogenesis in northern lakes, but it remains unclear whether old carbon substrates released from permafrost are metabolized as rapidly by methanogenic microbial communities as recently produced organic carbon. Here, we apply methane (CH</w:t>
      </w:r>
      <w:r w:rsidRPr="004443A9">
        <w:rPr>
          <w:vertAlign w:val="subscript"/>
        </w:rPr>
        <w:t>4</w:t>
      </w:r>
      <w:r w:rsidRPr="004443A9">
        <w:t>) clumped isotope (Δ</w:t>
      </w:r>
      <w:r w:rsidRPr="004443A9">
        <w:rPr>
          <w:vertAlign w:val="subscript"/>
        </w:rPr>
        <w:t>18</w:t>
      </w:r>
      <w:r w:rsidRPr="004443A9">
        <w:t xml:space="preserve">) and </w:t>
      </w:r>
      <w:r w:rsidRPr="004443A9">
        <w:rPr>
          <w:vertAlign w:val="superscript"/>
        </w:rPr>
        <w:t>14</w:t>
      </w:r>
      <w:r w:rsidRPr="004443A9">
        <w:t>C measurements to test whether rates of methanogenesis are related to carbon substrate age. Results from culture experiments indicate that Δ</w:t>
      </w:r>
      <w:r w:rsidRPr="004443A9">
        <w:rPr>
          <w:vertAlign w:val="subscript"/>
        </w:rPr>
        <w:t>18</w:t>
      </w:r>
      <w:r w:rsidRPr="004443A9">
        <w:t xml:space="preserve"> values are negatively correlated with CH</w:t>
      </w:r>
      <w:r w:rsidRPr="004443A9">
        <w:rPr>
          <w:vertAlign w:val="subscript"/>
        </w:rPr>
        <w:t>4</w:t>
      </w:r>
      <w:r w:rsidRPr="004443A9">
        <w:t xml:space="preserve"> production rate. Measurements of ebullition samples from thermokarst lakes in Alaska and glacial lakes in Sweden indicate strong negative correlations between CH</w:t>
      </w:r>
      <w:r w:rsidRPr="004443A9">
        <w:rPr>
          <w:vertAlign w:val="subscript"/>
        </w:rPr>
        <w:t>4</w:t>
      </w:r>
      <w:r w:rsidRPr="004443A9">
        <w:t xml:space="preserve"> Δ</w:t>
      </w:r>
      <w:r w:rsidRPr="004443A9">
        <w:rPr>
          <w:vertAlign w:val="subscript"/>
        </w:rPr>
        <w:t>18</w:t>
      </w:r>
      <w:r w:rsidRPr="004443A9">
        <w:t xml:space="preserve"> and the fraction modern carbon. These correlations imply that CH</w:t>
      </w:r>
      <w:r w:rsidRPr="004443A9">
        <w:rPr>
          <w:vertAlign w:val="subscript"/>
        </w:rPr>
        <w:t>4</w:t>
      </w:r>
      <w:r w:rsidRPr="004443A9">
        <w:t xml:space="preserve"> derived from older carbon substrates is produced relatively slowly. Relative rates of methanogenesis, as inferred from Δ</w:t>
      </w:r>
      <w:r w:rsidRPr="004443A9">
        <w:rPr>
          <w:vertAlign w:val="subscript"/>
        </w:rPr>
        <w:t>18</w:t>
      </w:r>
      <w:r w:rsidRPr="004443A9">
        <w:t xml:space="preserve"> values, are not positively correlated with CH</w:t>
      </w:r>
      <w:r w:rsidRPr="004443A9">
        <w:rPr>
          <w:vertAlign w:val="subscript"/>
        </w:rPr>
        <w:t>4</w:t>
      </w:r>
      <w:r w:rsidRPr="004443A9">
        <w:t xml:space="preserve"> flux estimates, highlighting the likely importance of environmental variables other than CH</w:t>
      </w:r>
      <w:r w:rsidRPr="004443A9">
        <w:rPr>
          <w:vertAlign w:val="subscript"/>
        </w:rPr>
        <w:t>4</w:t>
      </w:r>
      <w:r w:rsidRPr="004443A9">
        <w:t xml:space="preserve"> production rates in controlling ebullition fluxes.</w:t>
      </w:r>
    </w:p>
    <w:p w:rsidR="00DB42FE" w:rsidRPr="004443A9" w:rsidRDefault="00DB42FE" w:rsidP="00616347">
      <w:pPr>
        <w:pStyle w:val="EndNoteBibliography"/>
        <w:spacing w:after="0"/>
        <w:ind w:left="360"/>
      </w:pPr>
      <w:r w:rsidRPr="004443A9">
        <w:t>Plain Language Summary: There is concern that carbon from thawed permafrost will be emitted to the atmosphere as methane (CH</w:t>
      </w:r>
      <w:r w:rsidRPr="004443A9">
        <w:rPr>
          <w:vertAlign w:val="subscript"/>
        </w:rPr>
        <w:t>4</w:t>
      </w:r>
      <w:r w:rsidRPr="004443A9">
        <w:t>). It is currently uncertain whether old organic carbon from thawed permafrost can be converted to CH</w:t>
      </w:r>
      <w:r w:rsidRPr="004443A9">
        <w:rPr>
          <w:vertAlign w:val="subscript"/>
        </w:rPr>
        <w:t>4</w:t>
      </w:r>
      <w:r w:rsidRPr="004443A9">
        <w:t xml:space="preserve"> as rapidly as organic carbon recently fixed by primary producers. We address this question by combining radiocarbon and clumped isotope measurements of CH</w:t>
      </w:r>
      <w:r w:rsidRPr="004443A9">
        <w:rPr>
          <w:vertAlign w:val="subscript"/>
        </w:rPr>
        <w:t>4</w:t>
      </w:r>
      <w:r w:rsidRPr="004443A9">
        <w:t xml:space="preserve"> from lakes in permafrost landscapes. Radiocarbon (</w:t>
      </w:r>
      <w:r w:rsidRPr="004443A9">
        <w:rPr>
          <w:vertAlign w:val="superscript"/>
        </w:rPr>
        <w:t>14</w:t>
      </w:r>
      <w:r w:rsidRPr="004443A9">
        <w:t>C) measurements indicate the age of CH</w:t>
      </w:r>
      <w:r w:rsidRPr="004443A9">
        <w:rPr>
          <w:vertAlign w:val="subscript"/>
        </w:rPr>
        <w:t>4</w:t>
      </w:r>
      <w:r w:rsidRPr="004443A9">
        <w:t xml:space="preserve"> carbon sources. We present data from culture experiments that support the hypothesis that clumped isotope values are dependent on microbial CH</w:t>
      </w:r>
      <w:r w:rsidRPr="004443A9">
        <w:rPr>
          <w:vertAlign w:val="subscript"/>
        </w:rPr>
        <w:t>4</w:t>
      </w:r>
      <w:r w:rsidRPr="004443A9">
        <w:t xml:space="preserve"> production rate. In lake bubble samples, we observe a strong correlation between these two measurements, which implies that CH</w:t>
      </w:r>
      <w:r w:rsidRPr="004443A9">
        <w:rPr>
          <w:vertAlign w:val="subscript"/>
        </w:rPr>
        <w:t>4</w:t>
      </w:r>
      <w:r w:rsidRPr="004443A9">
        <w:t xml:space="preserve"> formed from older carbon is produced relatively slowly. We also find that higher rates of CH</w:t>
      </w:r>
      <w:r w:rsidRPr="004443A9">
        <w:rPr>
          <w:vertAlign w:val="subscript"/>
        </w:rPr>
        <w:t>4</w:t>
      </w:r>
      <w:r w:rsidRPr="004443A9">
        <w:t xml:space="preserve"> production, as inferred from clumped isotopes, are not linked to higher rates of CH</w:t>
      </w:r>
      <w:r w:rsidRPr="004443A9">
        <w:rPr>
          <w:vertAlign w:val="subscript"/>
        </w:rPr>
        <w:t>4</w:t>
      </w:r>
      <w:r w:rsidRPr="004443A9">
        <w:t xml:space="preserve"> emissions, implying that variables other than CH</w:t>
      </w:r>
      <w:r w:rsidRPr="004443A9">
        <w:rPr>
          <w:vertAlign w:val="subscript"/>
        </w:rPr>
        <w:t>4</w:t>
      </w:r>
      <w:r w:rsidRPr="004443A9">
        <w:t xml:space="preserve"> production rate strongly influence emission rates.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Du, Y., Song, H., </w:t>
      </w:r>
      <w:r w:rsidR="00616347">
        <w:t xml:space="preserve">2020. </w:t>
      </w:r>
      <w:r w:rsidRPr="004443A9">
        <w:t>Refined protocol for δ</w:t>
      </w:r>
      <w:r w:rsidRPr="004443A9">
        <w:rPr>
          <w:vertAlign w:val="superscript"/>
        </w:rPr>
        <w:t>13</w:t>
      </w:r>
      <w:r w:rsidRPr="004443A9">
        <w:t>C analysis of calcite and dolomite in carbonate mixture samples. Rapid Communications in Mass Spectrometry 34, e8743.</w:t>
      </w:r>
    </w:p>
    <w:p w:rsidR="00DB42FE" w:rsidRPr="004443A9" w:rsidRDefault="00DB42FE" w:rsidP="00616347">
      <w:pPr>
        <w:pStyle w:val="EndNoteBibliography"/>
        <w:ind w:left="360"/>
      </w:pPr>
      <w:r w:rsidRPr="004443A9">
        <w:t>https://doi.org/10.1002/rcm.8743</w:t>
      </w:r>
    </w:p>
    <w:p w:rsidR="00DB42FE" w:rsidRPr="004443A9" w:rsidRDefault="00DB42FE" w:rsidP="00616347">
      <w:pPr>
        <w:pStyle w:val="EndNoteBibliography"/>
        <w:ind w:left="360"/>
      </w:pPr>
      <w:r w:rsidRPr="004443A9">
        <w:t>Rationale: The carbon isotope composition of carbonates is widely used in petrology and paleoenvironments as a proxy for carbon sources and environmental parameters during mineral formation or late diagenesis. However, most carbonate minerals in nature are complicated mixtures (i.e., coexisting calcite and dolomite). Precise separation of individual signals in mixed carbonate minerals is essential to obtain information regarding these indexes because of the diverse isotopic behavior of different minerals.</w:t>
      </w:r>
    </w:p>
    <w:p w:rsidR="00DB42FE" w:rsidRPr="004443A9" w:rsidRDefault="00DB42FE" w:rsidP="00616347">
      <w:pPr>
        <w:pStyle w:val="EndNoteBibliography"/>
        <w:ind w:left="360"/>
      </w:pPr>
      <w:r w:rsidRPr="004443A9">
        <w:lastRenderedPageBreak/>
        <w:t>Methods: The conditions for pretreating calcite–dolomite mixtures to determine each of their δ</w:t>
      </w:r>
      <w:r w:rsidRPr="004443A9">
        <w:rPr>
          <w:vertAlign w:val="superscript"/>
        </w:rPr>
        <w:t>13</w:t>
      </w:r>
      <w:r w:rsidRPr="004443A9">
        <w:t xml:space="preserve">C values were optimized with a series of experiments varying the purging and reaction conditions using an isotope ratio mass spectrometer equipped with an online GasBench II interface. Sequential phosphoric acid reactions of pure calcite and dolomite were performed to measure the characteristics of single minerals under different temperatures and reaction times. Artificial mixtures with varied proportions of calcite and dolomite were used to verify the precision of the proposed method. </w:t>
      </w:r>
    </w:p>
    <w:p w:rsidR="00DB42FE" w:rsidRPr="004443A9" w:rsidRDefault="00DB42FE" w:rsidP="00616347">
      <w:pPr>
        <w:pStyle w:val="EndNoteBibliography"/>
        <w:ind w:left="360"/>
      </w:pPr>
      <w:r w:rsidRPr="004443A9">
        <w:t>Results: The optimized pretreatment conditions for δ</w:t>
      </w:r>
      <w:r w:rsidRPr="004443A9">
        <w:rPr>
          <w:vertAlign w:val="superscript"/>
        </w:rPr>
        <w:t>13</w:t>
      </w:r>
      <w:r w:rsidRPr="004443A9">
        <w:t>C analysis of calcite in the mixture involved purging the sample bottle using helium and then reacting it with 99% H</w:t>
      </w:r>
      <w:r w:rsidRPr="004443A9">
        <w:rPr>
          <w:vertAlign w:val="subscript"/>
        </w:rPr>
        <w:t>3</w:t>
      </w:r>
      <w:r w:rsidRPr="004443A9">
        <w:t>PO</w:t>
      </w:r>
      <w:r w:rsidRPr="004443A9">
        <w:rPr>
          <w:vertAlign w:val="subscript"/>
        </w:rPr>
        <w:t>4</w:t>
      </w:r>
      <w:r w:rsidRPr="004443A9">
        <w:t xml:space="preserve"> for 100 min in a cold water bath at 2°C. The optimized pretreatment conditions for δ</w:t>
      </w:r>
      <w:r w:rsidRPr="004443A9">
        <w:rPr>
          <w:vertAlign w:val="superscript"/>
        </w:rPr>
        <w:t>13</w:t>
      </w:r>
      <w:r w:rsidRPr="004443A9">
        <w:t>C analysis of dolomite in the mixture involved purging the sample bottle using helium gas after δ</w:t>
      </w:r>
      <w:r w:rsidRPr="004443A9">
        <w:rPr>
          <w:vertAlign w:val="superscript"/>
        </w:rPr>
        <w:t>13</w:t>
      </w:r>
      <w:r w:rsidRPr="004443A9">
        <w:t>C</w:t>
      </w:r>
      <w:r w:rsidRPr="004443A9">
        <w:rPr>
          <w:vertAlign w:val="subscript"/>
        </w:rPr>
        <w:t>cal</w:t>
      </w:r>
      <w:r w:rsidRPr="004443A9">
        <w:t xml:space="preserve"> measurement and reacting it with H</w:t>
      </w:r>
      <w:r w:rsidRPr="004443A9">
        <w:rPr>
          <w:vertAlign w:val="subscript"/>
        </w:rPr>
        <w:t>3</w:t>
      </w:r>
      <w:r w:rsidRPr="004443A9">
        <w:t>PO</w:t>
      </w:r>
      <w:r w:rsidRPr="004443A9">
        <w:rPr>
          <w:vertAlign w:val="subscript"/>
        </w:rPr>
        <w:t>4</w:t>
      </w:r>
      <w:r w:rsidRPr="004443A9">
        <w:t xml:space="preserve"> on a heating plate for 10 h at 45°C. </w:t>
      </w:r>
    </w:p>
    <w:p w:rsidR="00DB42FE" w:rsidRPr="004443A9" w:rsidRDefault="00DB42FE" w:rsidP="00616347">
      <w:pPr>
        <w:pStyle w:val="EndNoteBibliography"/>
        <w:spacing w:after="0"/>
        <w:ind w:left="360"/>
      </w:pPr>
      <w:r w:rsidRPr="004443A9">
        <w:t>Conclusions: This study introduced a workflow with ultimate precision for the selective δ</w:t>
      </w:r>
      <w:r w:rsidRPr="004443A9">
        <w:rPr>
          <w:vertAlign w:val="superscript"/>
        </w:rPr>
        <w:t>13</w:t>
      </w:r>
      <w:r w:rsidRPr="004443A9">
        <w:t>C measurements of calcite–dolomite mixtures combining a GasBench II with a continuous flow isotope ratio mass spectrometer.</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Du, Y., Zhang, H., Li, X., Zhang, Y., Yuan, S., </w:t>
      </w:r>
      <w:r w:rsidR="00616347">
        <w:t xml:space="preserve">2020. </w:t>
      </w:r>
      <w:r w:rsidRPr="004443A9">
        <w:t>Molecular dynamics study on the suitable compatibility conditions of a CO</w:t>
      </w:r>
      <w:r w:rsidRPr="004443A9">
        <w:rPr>
          <w:vertAlign w:val="subscript"/>
        </w:rPr>
        <w:t>2</w:t>
      </w:r>
      <w:r w:rsidRPr="004443A9">
        <w:t>-cosolvent-light hydrocarbon system by calculating the solubility parameters. Energy &amp; Fuels 34, 3483-3492.</w:t>
      </w:r>
    </w:p>
    <w:p w:rsidR="00DB42FE" w:rsidRPr="004443A9" w:rsidRDefault="00DB42FE" w:rsidP="00616347">
      <w:pPr>
        <w:pStyle w:val="EndNoteBibliography"/>
        <w:ind w:left="360"/>
      </w:pPr>
      <w:r w:rsidRPr="004443A9">
        <w:t>https://doi.org/10.1021/acs.energyfuels.9b03883</w:t>
      </w:r>
    </w:p>
    <w:p w:rsidR="00DB42FE" w:rsidRPr="004443A9" w:rsidRDefault="00DB42FE" w:rsidP="00616347">
      <w:pPr>
        <w:pStyle w:val="EndNoteBibliography"/>
        <w:spacing w:after="0"/>
        <w:ind w:left="360"/>
      </w:pPr>
      <w:r w:rsidRPr="004443A9">
        <w:t>Molecular dynamics simulations were performed to calculate the solubility parameters of oil molecules (such as straight-chain alkanes, cycloalkanes, and aromatics) and CO</w:t>
      </w:r>
      <w:r w:rsidRPr="004443A9">
        <w:rPr>
          <w:vertAlign w:val="subscript"/>
        </w:rPr>
        <w:t>2</w:t>
      </w:r>
      <w:r w:rsidRPr="004443A9">
        <w:t xml:space="preserve"> + cosolvent systems. It was found that the solubility parameter of supercritical carbon dioxide (SC-CO</w:t>
      </w:r>
      <w:r w:rsidRPr="004443A9">
        <w:rPr>
          <w:vertAlign w:val="subscript"/>
        </w:rPr>
        <w:t>2</w:t>
      </w:r>
      <w:r w:rsidRPr="004443A9">
        <w:t>) increases with the increase of pressure at a fixed temperature, decreases with the increase of temperature at a fixed pressure, and increases linearly with the increase of the SC-CO</w:t>
      </w:r>
      <w:r w:rsidRPr="004443A9">
        <w:rPr>
          <w:vertAlign w:val="subscript"/>
        </w:rPr>
        <w:t>2</w:t>
      </w:r>
      <w:r w:rsidRPr="004443A9">
        <w:t xml:space="preserve"> system density. The simulated results showed that the nonbonding van der Waals interaction plays a dominant role in the solubility parameter of the SC-CO</w:t>
      </w:r>
      <w:r w:rsidRPr="004443A9">
        <w:rPr>
          <w:vertAlign w:val="subscript"/>
        </w:rPr>
        <w:t>2</w:t>
      </w:r>
      <w:r w:rsidRPr="004443A9">
        <w:t xml:space="preserve"> system. Furthermore, adding a certain amount of cosolvent into the SC-CO</w:t>
      </w:r>
      <w:r w:rsidRPr="004443A9">
        <w:rPr>
          <w:vertAlign w:val="subscript"/>
        </w:rPr>
        <w:t>2</w:t>
      </w:r>
      <w:r w:rsidRPr="004443A9">
        <w:t xml:space="preserve"> system can evidently improve the solubility parameters of the system. The simulated solubility parameters showed that the CO</w:t>
      </w:r>
      <w:r w:rsidRPr="004443A9">
        <w:rPr>
          <w:vertAlign w:val="subscript"/>
        </w:rPr>
        <w:t>2</w:t>
      </w:r>
      <w:r w:rsidRPr="004443A9">
        <w:t xml:space="preserve"> + 20% ethanol molecules are more effective in extracting light hydrocarbons. When the solubility parameters of CO</w:t>
      </w:r>
      <w:r w:rsidRPr="004443A9">
        <w:rPr>
          <w:vertAlign w:val="subscript"/>
        </w:rPr>
        <w:t>2</w:t>
      </w:r>
      <w:r w:rsidRPr="004443A9">
        <w:t xml:space="preserve"> + cosolvent systems are identical to those of alkane, cycloalkane, or aromatic systems, the linear relationship between the pressure and temperature can give the guidance for selecting the cosolvent in the SC-CO</w:t>
      </w:r>
      <w:r w:rsidRPr="004443A9">
        <w:rPr>
          <w:vertAlign w:val="subscript"/>
        </w:rPr>
        <w:t>2</w:t>
      </w:r>
      <w:r w:rsidRPr="004443A9">
        <w:t xml:space="preserve"> system in the future. Through the simulation, we concluded that the investigations about the light hydrocarbons and CO</w:t>
      </w:r>
      <w:r w:rsidRPr="004443A9">
        <w:rPr>
          <w:vertAlign w:val="subscript"/>
        </w:rPr>
        <w:t>2</w:t>
      </w:r>
      <w:r w:rsidRPr="004443A9">
        <w:t xml:space="preserve"> + cosolvent systems can provide a theoretical model for selecting suitable external conditions for CO</w:t>
      </w:r>
      <w:r w:rsidRPr="004443A9">
        <w:rPr>
          <w:vertAlign w:val="subscript"/>
        </w:rPr>
        <w:t>2</w:t>
      </w:r>
      <w:r w:rsidRPr="004443A9">
        <w:t xml:space="preserve"> flooding technology.</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Duan, W., Li, C.-F., Chen, X.-G., Luo, C.-F., Tuo, L., Liu, J.-Z., </w:t>
      </w:r>
      <w:r w:rsidR="00616347">
        <w:t xml:space="preserve">2020. </w:t>
      </w:r>
      <w:r w:rsidRPr="004443A9">
        <w:t>Diagenetic differences caused by gas charging with different compositions in the XF13 block of the Yinggehai Basin, South China Sea. American Association of Petroleum Geologists Bulletin 104, 735-765.</w:t>
      </w:r>
    </w:p>
    <w:p w:rsidR="00DB42FE" w:rsidRPr="004443A9" w:rsidRDefault="00DB42FE" w:rsidP="00616347">
      <w:pPr>
        <w:pStyle w:val="EndNoteBibliography"/>
        <w:ind w:left="360"/>
      </w:pPr>
      <w:r w:rsidRPr="004443A9">
        <w:t>http://archives.datapages.com/data/bulletns/2020/04apr/BLTN17331/bltn17331.html</w:t>
      </w:r>
    </w:p>
    <w:p w:rsidR="00DB42FE" w:rsidRPr="004443A9" w:rsidRDefault="00DB42FE" w:rsidP="00616347">
      <w:pPr>
        <w:pStyle w:val="EndNoteBibliography"/>
        <w:spacing w:after="0"/>
        <w:ind w:left="360"/>
      </w:pPr>
      <w:r w:rsidRPr="004443A9">
        <w:t xml:space="preserve">The gas charging influences on dissolution, cementation, and clay transformation are still largely unknown during the migration and accumulation of hydrocarbons. The reservoirs in the upper </w:t>
      </w:r>
      <w:r w:rsidRPr="004443A9">
        <w:lastRenderedPageBreak/>
        <w:t>Huangliu Formation of the XF13 block in the Yinggehai Basin, South China Sea, were charged by CO</w:t>
      </w:r>
      <w:r w:rsidRPr="004443A9">
        <w:rPr>
          <w:vertAlign w:val="subscript"/>
        </w:rPr>
        <w:t>2</w:t>
      </w:r>
      <w:r w:rsidRPr="004443A9">
        <w:t xml:space="preserve"> and gaseous hydrocarbons, offering us an ideal opportunity to quantitatively study the diagenetic differences caused by gas charging with different compositions. The techniques and methods used in this study include optical microscopy, scanning electron microscopy, cathodoluminescence, x-ray diffraction, chemical analysis of formation water, stable isotope analyses, and fluid inclusion examination. These analyses demonstrate that the late-stage charging of CO</w:t>
      </w:r>
      <w:r w:rsidRPr="004443A9">
        <w:rPr>
          <w:vertAlign w:val="subscript"/>
        </w:rPr>
        <w:t>2</w:t>
      </w:r>
      <w:r w:rsidRPr="004443A9">
        <w:t>-rich thermal fluid in the wells near the diapir zone modified porosity, permeability, temperature, fluid pH, and contents of K</w:t>
      </w:r>
      <w:r w:rsidRPr="004443A9">
        <w:rPr>
          <w:vertAlign w:val="superscript"/>
        </w:rPr>
        <w:t>+</w:t>
      </w:r>
      <w:r w:rsidRPr="004443A9">
        <w:t>, Na</w:t>
      </w:r>
      <w:r w:rsidRPr="004443A9">
        <w:rPr>
          <w:vertAlign w:val="superscript"/>
        </w:rPr>
        <w:t>+</w:t>
      </w:r>
      <w:r w:rsidRPr="004443A9">
        <w:t>, Mg</w:t>
      </w:r>
      <w:r w:rsidRPr="004443A9">
        <w:rPr>
          <w:vertAlign w:val="superscript"/>
        </w:rPr>
        <w:t>2+</w:t>
      </w:r>
      <w:r w:rsidRPr="004443A9">
        <w:t>, Fe</w:t>
      </w:r>
      <w:r w:rsidRPr="004443A9">
        <w:rPr>
          <w:vertAlign w:val="superscript"/>
        </w:rPr>
        <w:t>2+</w:t>
      </w:r>
      <w:r w:rsidRPr="004443A9">
        <w:t>, and other ions. Natural gas accumulations with high maturity and high CO</w:t>
      </w:r>
      <w:r w:rsidRPr="004443A9">
        <w:rPr>
          <w:vertAlign w:val="subscript"/>
        </w:rPr>
        <w:t>2</w:t>
      </w:r>
      <w:r w:rsidRPr="004443A9">
        <w:t xml:space="preserve"> contents presented at wells XF13A and XF13B near the diapir zone resulted from episodic mixing and modification. Wells far from the diapir zone (e.g., XF13E and XF13F) mostly show alkane enrichment. Late-stage charging of CO</w:t>
      </w:r>
      <w:r w:rsidRPr="004443A9">
        <w:rPr>
          <w:vertAlign w:val="subscript"/>
        </w:rPr>
        <w:t>2</w:t>
      </w:r>
      <w:r w:rsidRPr="004443A9">
        <w:t>-rich thermal fluids at wells XF13A and XF13B (in a closed system with episodic semiopen events) has resulted in significant dissolution and caused reservoirs with high porosity but low permeability. In contrast, wells far from the diapir zone were only charged by early-stage hydrocarbons, and the porosity and permeability are relatively high. This study is important in predicting reservoir quality according to gas compositions of reservoirs.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Dummann, W., Steinig, S., Hofmann, P., Lenz, M., Kusch, S., Flögel, S., Herrle, J.O., Hallmann, C., Rethemeyer, J., Kasper, H.U., Wagner, T., </w:t>
      </w:r>
      <w:r w:rsidR="00616347">
        <w:t xml:space="preserve">2020. </w:t>
      </w:r>
      <w:r w:rsidRPr="004443A9">
        <w:t>Driving mechanisms of organic carbon burial in the Early Cretaceous South Atlantic Cape Basin (DSDP Site 361). Climate of the Past Discussions 2020, 1-30.</w:t>
      </w:r>
    </w:p>
    <w:p w:rsidR="00DB42FE" w:rsidRPr="004443A9" w:rsidRDefault="00DB42FE" w:rsidP="00616347">
      <w:pPr>
        <w:pStyle w:val="EndNoteBibliography"/>
        <w:ind w:left="360"/>
      </w:pPr>
      <w:r w:rsidRPr="004443A9">
        <w:t>https://www.clim-past-discuss.net/cp-2020-15/</w:t>
      </w:r>
    </w:p>
    <w:p w:rsidR="00DB42FE" w:rsidRPr="004443A9" w:rsidRDefault="00DB42FE" w:rsidP="00616347">
      <w:pPr>
        <w:pStyle w:val="EndNoteBibliography"/>
        <w:spacing w:after="0"/>
        <w:ind w:left="360"/>
      </w:pPr>
      <w:r w:rsidRPr="004443A9">
        <w:t>Extensive black shale deposits formed in the Early Cretaceous South Atlantic, supporting the notion that this emerging ocean basin was a globally important site of organic carbon burial. The magnitude of organic carbon burial in marine basins is known to be controlled by various tectonic, oceanographic, hydrological, and climatic processes acting on different temporal and spatial scales, the nature and relative importance of which are poorly understood for the young South Atlantic. Here we present new bulk and molecular geochemical data from an Aptian–Albian sediment record recovered from the deep Cape Basin at Deep Sea Drilling Project (DSDP) Site 361, which we combine with general circulation model results to identify driving mechanisms of organic carbon burial. A multi-million year decrease (i.e. Early Aptian–Albian) in organic carbon burial, reflected in a lithological succession of black shale, gray shale, and red beds, was caused by increasing bottom water oxygenation due to abating tectonic restriction via South Atlantic-Southern Ocean gateways. These results emphasize basin evolution and ocean gateway development as a decisive primary control on enhanced organic carbon preservation in the Cape Basin at geological time scales (&gt; 1 Myr). The Early Aptian black shale sequence comprises alternations of shales with high (&gt; 5 %) and relatively low (</w:t>
      </w:r>
      <w:r w:rsidRPr="004443A9">
        <w:rPr>
          <w:rFonts w:ascii="Cambria Math" w:hAnsi="Cambria Math" w:cs="Cambria Math"/>
        </w:rPr>
        <w:t>∼</w:t>
      </w:r>
      <w:r w:rsidRPr="004443A9">
        <w:rPr>
          <w:rFonts w:cs="Calibri"/>
        </w:rPr>
        <w:t> </w:t>
      </w:r>
      <w:r w:rsidRPr="004443A9">
        <w:t>3</w:t>
      </w:r>
      <w:r w:rsidRPr="004443A9">
        <w:rPr>
          <w:rFonts w:cs="Calibri"/>
        </w:rPr>
        <w:t> </w:t>
      </w:r>
      <w:r w:rsidRPr="004443A9">
        <w:t xml:space="preserve">%) organic carbon content of marine sources, the former being deposited during the global Oceanic Anoxic Event (OAE) 1a, as well as during repetitive events before and after OAE 1a. In all cases, these short-term events of enhanced organic carbon burial coincided with strong influxes of sediments derived from the proximal African continent, indicating closely coupled climate–land–ocean interactions. Supported by our model results, we propose that fluctuations in weathering-derived nutrient input from the southern African continent, linked to fluctuations in </w:t>
      </w:r>
      <w:r w:rsidRPr="004443A9">
        <w:rPr>
          <w:i/>
        </w:rPr>
        <w:t>p</w:t>
      </w:r>
      <w:r w:rsidRPr="004443A9">
        <w:t>CO</w:t>
      </w:r>
      <w:r w:rsidRPr="004443A9">
        <w:rPr>
          <w:vertAlign w:val="subscript"/>
        </w:rPr>
        <w:t>2</w:t>
      </w:r>
      <w:r w:rsidRPr="004443A9">
        <w:t xml:space="preserve"> and/or orbitally driven humidity/aridity, were the underlying drivers of short-term organic carbon burial in the deep Cape Basin. These results suggest that deep marine environments of emerging ocean basins responded sensitively and directly to short-term fluctuations in riverine nutrient fluxes. We explain this relationship by the lack of wide and mature continental shelf seas </w:t>
      </w:r>
      <w:r w:rsidRPr="004443A9">
        <w:lastRenderedPageBreak/>
        <w:t>that could have acted as a barrier or filter for nutrient transfer from the continent into the deep ocean.</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Dutta, S., Kumar, S., Singh, H., Khan, M.A., Barai, A., Tewari, A., Rana, R.S., Bera, S., Sen, S., Sahni, A., </w:t>
      </w:r>
      <w:r w:rsidR="00616347">
        <w:t xml:space="preserve">2020. </w:t>
      </w:r>
      <w:r w:rsidRPr="004443A9">
        <w:t>Chemical evidence of preserved collagen in 54-million-year-old fish vertebrae. Palaeontology 63, 195-202.</w:t>
      </w:r>
    </w:p>
    <w:p w:rsidR="00DB42FE" w:rsidRPr="004443A9" w:rsidRDefault="00DB42FE" w:rsidP="00616347">
      <w:pPr>
        <w:pStyle w:val="EndNoteBibliography"/>
        <w:ind w:left="360"/>
      </w:pPr>
      <w:r w:rsidRPr="004443A9">
        <w:t>https://doi.org/10.1111/pala.12469</w:t>
      </w:r>
    </w:p>
    <w:p w:rsidR="00DB42FE" w:rsidRPr="004443A9" w:rsidRDefault="00DB42FE" w:rsidP="00616347">
      <w:pPr>
        <w:pStyle w:val="EndNoteBibliography"/>
        <w:spacing w:after="0"/>
        <w:ind w:left="360"/>
      </w:pPr>
      <w:r w:rsidRPr="004443A9">
        <w:t>Collagens are the most abundant proteins in the animal kingdom. They form the structural framework of connective tissues such as bones, tendons and skin, and play important biomechanical role in supporting tissue functions. The preservation of collagen in deep time is a topic of intense debate. Here we provide indisputable evidence for the presence of collagen in early Eocene fish vertebrae using online pyrolysis comprehensive two dimensional gas chromatography time‐of‐flight mass spectrometry (py‐GC×GC‐TOFMS) and immunofluorescence analysis. The presence of cyclic dipeptides such as diketodipyrrole, 2,5‐diketopiperazine of proline‐proline and 2,5‐diketopiperazine of proline‐glycine along with other nitrogen‐bearing molecules in the pyrolysis products of the studied fossils unequivocally demonstrate that collagen can withstand degradation and diagenetic alteration. Immunofluorescence study also confirms the presence of collagen‐I in the fossilized fish vertebrae. Contrary to common opinion, the present findings suggest that the preservation of collagen in fossilized soft tissues is not rare. We propose that one of the essential factors controlling preservation of collagen is the establishment of a suitable microenvironment within the fossil, inhibiting diagenetic alteration including microbial decay.</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Duvert, C., Hutley, L.B., Birkel, C., Rudge, M., Munksgaard, N.C., Wynn, J.G., Setterfield, S.A., Cendón, D.I., Bird, M.I., </w:t>
      </w:r>
      <w:r w:rsidR="00616347">
        <w:t xml:space="preserve">2020. </w:t>
      </w:r>
      <w:r w:rsidRPr="004443A9">
        <w:t>Seasonal shift from biogenic to geogenic fluvial carbon caused by changing water sources in the wet-dry tropics. Journal of Geophysical Research: Biogeosciences 125, e2019JG005384.</w:t>
      </w:r>
    </w:p>
    <w:p w:rsidR="00DB42FE" w:rsidRPr="004443A9" w:rsidRDefault="00DB42FE" w:rsidP="00616347">
      <w:pPr>
        <w:pStyle w:val="EndNoteBibliography"/>
        <w:ind w:left="360"/>
      </w:pPr>
      <w:r w:rsidRPr="004443A9">
        <w:t>https://doi.org/10.1029/2019JG005384</w:t>
      </w:r>
    </w:p>
    <w:p w:rsidR="00DB42FE" w:rsidRPr="004443A9" w:rsidRDefault="00DB42FE" w:rsidP="00616347">
      <w:pPr>
        <w:pStyle w:val="EndNoteBibliography"/>
        <w:spacing w:after="0"/>
        <w:ind w:left="360"/>
      </w:pPr>
      <w:r w:rsidRPr="004443A9">
        <w:t xml:space="preserve">The riverine export of carbon is expected to be driven by changes in connectivity between source areas and streams. Yet we lack a thorough understanding of the relative contributions of different water sources to the dissolved carbon flux, and of the way these contributions vary with seasonal changes in flow connectivity. Here we assess the temporal variations in water and associated dissolved inorganic carbon (DIC) sources and fluxes in a wet‐dry tropical river of northern Australia over two years. We use linear mixing models integrated into a Bayesian framework to determine the relative contributions of rainfall, seasonal wetlands, shallow groundwater, and a deep carbonate aquifer to riverine DIC fluxes, which we relate to the age of water sources. Our results suggest extreme shifts in water and DIC sources between the wet and dry seasons. Under wet conditions, most DIC was of biogenic origin and transported by relatively young water sources originating from shallow groundwater and wetlands. As rainfall ceased, the wetlands either dried out or became disconnected from the stream network. From this stage, DIC switched to a geogenic origin, nearly entirely conveyed via older water sources from the carbonate formation. Our findings demonstrate the importance of changing patterns of connectivity when evaluating riverine DIC export from catchments. This work also illustrates the need to systematically partition DIC fluxes between </w:t>
      </w:r>
      <w:r w:rsidRPr="004443A9">
        <w:lastRenderedPageBreak/>
        <w:t>biogenic and geogenic sources, if we are to quantify how the riverine export of carbon affects net carbon soil storage.</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Eiler, J.M., </w:t>
      </w:r>
      <w:r w:rsidR="00616347">
        <w:t xml:space="preserve">2020. </w:t>
      </w:r>
      <w:r w:rsidRPr="004443A9">
        <w:t>The once and future hydrogen economy. Elements 16, 3-3.</w:t>
      </w:r>
    </w:p>
    <w:p w:rsidR="00DB42FE" w:rsidRPr="004443A9" w:rsidRDefault="00DB42FE" w:rsidP="00616347">
      <w:pPr>
        <w:pStyle w:val="EndNoteBibliography"/>
        <w:ind w:left="360"/>
      </w:pPr>
      <w:r w:rsidRPr="004443A9">
        <w:t>https://doi.org/10.2138/gselements.16.1.3</w:t>
      </w:r>
    </w:p>
    <w:p w:rsidR="00DB42FE" w:rsidRPr="004443A9" w:rsidRDefault="00DB42FE" w:rsidP="00616347">
      <w:pPr>
        <w:pStyle w:val="EndNoteBibliography"/>
        <w:ind w:left="360"/>
      </w:pPr>
      <w:r w:rsidRPr="004443A9">
        <w:t>I would like to know, now that we’ve reached the year 2020, where is the hydrogen economy I was promised? Hydrogen fuel cell cars lurk at the margins of the marketplace, and several governments and corporations continue to make large bets on hydrogen’s future, but as I look out the window at my battery assisted, hybrid car, I’m still left wondering “what went wrong”?</w:t>
      </w:r>
    </w:p>
    <w:p w:rsidR="00DB42FE" w:rsidRPr="004443A9" w:rsidRDefault="00DB42FE" w:rsidP="00616347">
      <w:pPr>
        <w:pStyle w:val="EndNoteBibliography"/>
        <w:ind w:left="360"/>
      </w:pPr>
      <w:r w:rsidRPr="004443A9">
        <w:t>Twenty years ago, the hydrogen-based economy was among the most eagerly anticipated ideas in alternative energy. The appeal of hydrogen as a commodity stems from its almost limitless mutability. This simplest of molecules can be made from many different things in many different ways, and once made can be used for many purposes. It is a transportation fuel with the energy density to propel everything from cars to hypersonic aircraft; it can be converted to electrical power at scales from laptops to houses to cities; and it is a critical chemical reagent for several industrial processes. Most importantly from the perspective of carbon emissions and renewable resources, it can be made from water alone and emits only water when it is consumed. So, if hydrogen is made using some renewable form of energy (e.g., solar-voltaic electricity), every major step in the fuel cycle of a wide range of technologies can be carbon free.</w:t>
      </w:r>
    </w:p>
    <w:p w:rsidR="00DB42FE" w:rsidRPr="004443A9" w:rsidRDefault="00DB42FE" w:rsidP="00616347">
      <w:pPr>
        <w:pStyle w:val="EndNoteBibliography"/>
        <w:ind w:left="360"/>
      </w:pPr>
      <w:r w:rsidRPr="004443A9">
        <w:t>Given that the cost of photovoltaic power has dropped by nearly a factor of 5 over the last decade alone, how it is possible that hydrogen technologies haven’t yet won the fight for the alternative energy marketplace? There is no simple answer, but two factors are clear. The hydrogen economy suffers from a kind of ‘tragedy of the commons’, in that it can only flourish after we make major investments to adapt our collective energy infrastructure to meet hydrogen’s unique demands. And, the unforeseen success of fracking and other unconventional oil and gas extraction technologies have shifted the goal posts on the economic playing field, pushing clean hydrogen technologies further to the margins, and even promoting a kind of ‘dirty’ hydrogen economy in its place.</w:t>
      </w:r>
    </w:p>
    <w:p w:rsidR="00DB42FE" w:rsidRPr="004443A9" w:rsidRDefault="00DB42FE" w:rsidP="00616347">
      <w:pPr>
        <w:pStyle w:val="EndNoteBibliography"/>
        <w:ind w:left="360"/>
      </w:pPr>
      <w:r w:rsidRPr="004443A9">
        <w:t>Ironically, economic uses of hydrogen have expanded in recent years, but in ways that contribute to, rather than diminish, our carbon footprint. Hydrogen is used in the Haber–Bosch process to produce ammonia fertilizers, and is reacted with low-value, refractory components of oil to create smaller, more useful hydrocarbons. Therefore, demand for hydrogen as an industrial chemical has increased with the growth of populations and economies over the last 20 years. Both of these uses of hydrogen are carbon-emitting processes in and of themselves. And, the dramatic expansion of unconventional gas production has meant that we are meeting our needs for hydrogen by steam reforming of inexpensive methane and other hydrocarbons—another CO</w:t>
      </w:r>
      <w:r w:rsidRPr="004443A9">
        <w:rPr>
          <w:vertAlign w:val="subscript"/>
        </w:rPr>
        <w:t>2</w:t>
      </w:r>
      <w:r w:rsidRPr="004443A9">
        <w:t xml:space="preserve"> producing process. If you recently purchased one of the first few commercially available hydrogen fuel cell cars, the odds are good that you are fueling your vehicle with hydrogen made by steam reforming of natural gas. Thus, a kind of hydrogen economy was, in fact, delivered, but it isn’t the one we thought we were ordering.</w:t>
      </w:r>
    </w:p>
    <w:p w:rsidR="00DB42FE" w:rsidRPr="004443A9" w:rsidRDefault="00DB42FE" w:rsidP="00616347">
      <w:pPr>
        <w:pStyle w:val="EndNoteBibliography"/>
        <w:spacing w:after="0"/>
        <w:ind w:left="360"/>
      </w:pPr>
      <w:r w:rsidRPr="004443A9">
        <w:t>So what are the paths forward that remain for a ‘green’ hydrogen economy? Coupling large-scale hydrogen production from inexpensive steam reforming with capture of the produced CO</w:t>
      </w:r>
      <w:r w:rsidRPr="004443A9">
        <w:rPr>
          <w:vertAlign w:val="subscript"/>
        </w:rPr>
        <w:t>2</w:t>
      </w:r>
      <w:r w:rsidRPr="004443A9">
        <w:t xml:space="preserve"> is one possibility. In this issue of </w:t>
      </w:r>
      <w:r w:rsidRPr="004443A9">
        <w:rPr>
          <w:i/>
        </w:rPr>
        <w:t>Elements</w:t>
      </w:r>
      <w:r w:rsidRPr="004443A9">
        <w:t xml:space="preserve">, Eric Gaucher (see page 8) calls our attention to another path—recent discoveries raise the possibility of economic hydrogen gas reservoirs that form in the crust, </w:t>
      </w:r>
      <w:r w:rsidRPr="004443A9">
        <w:lastRenderedPageBreak/>
        <w:t>perhaps through water–rock reactions, and that accumulate beneath impermeable geological ‘traps’. It is imaginable that discovery and exploitation of such deposits could provide a way to ground the hydrogen economy on a zero-emission source, obviating photovoltaic or other engineered production or CO</w:t>
      </w:r>
      <w:r w:rsidRPr="004443A9">
        <w:rPr>
          <w:vertAlign w:val="subscript"/>
        </w:rPr>
        <w:t>2</w:t>
      </w:r>
      <w:r w:rsidRPr="004443A9">
        <w:t xml:space="preserve"> sequestration. But whether or not these are game changing must depend on the other major factor that has held us back from this vision of a hydrogen-based 21</w:t>
      </w:r>
      <w:r w:rsidRPr="004443A9">
        <w:rPr>
          <w:vertAlign w:val="superscript"/>
        </w:rPr>
        <w:t>st</w:t>
      </w:r>
      <w:r w:rsidRPr="004443A9">
        <w:t xml:space="preserve"> century energy economy: the fact that most of us still depend on a 20</w:t>
      </w:r>
      <w:r w:rsidRPr="004443A9">
        <w:rPr>
          <w:vertAlign w:val="superscript"/>
        </w:rPr>
        <w:t>th</w:t>
      </w:r>
      <w:r w:rsidRPr="004443A9">
        <w:t xml:space="preserve"> century infrastructure built to meet the needs of fossil-carbon energy sources. So look to (and perhaps follow) the leadership of those few places, such as Japan, California, and Denmark, where significant investments aim to create the first large, effective hydrogen delivery networks.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Eke, W.I., Victor-Oji, C., Akaranta, O., </w:t>
      </w:r>
      <w:r w:rsidR="00616347">
        <w:t xml:space="preserve">2020. </w:t>
      </w:r>
      <w:r w:rsidRPr="004443A9">
        <w:t>Oilfield metal naphthenate formation and mitigation measures: a review. Journal of Petroleum Exploration and Production Technology 10, 805-819.</w:t>
      </w:r>
    </w:p>
    <w:p w:rsidR="00DB42FE" w:rsidRPr="004443A9" w:rsidRDefault="00DB42FE" w:rsidP="00616347">
      <w:pPr>
        <w:pStyle w:val="EndNoteBibliography"/>
        <w:ind w:left="360"/>
      </w:pPr>
      <w:r w:rsidRPr="004443A9">
        <w:t>https://doi.org/10.1007/s13202-019-00797-0</w:t>
      </w:r>
    </w:p>
    <w:p w:rsidR="00DB42FE" w:rsidRPr="004443A9" w:rsidRDefault="00DB42FE" w:rsidP="00616347">
      <w:pPr>
        <w:pStyle w:val="EndNoteBibliography"/>
        <w:spacing w:after="0"/>
        <w:ind w:left="360"/>
      </w:pPr>
      <w:r w:rsidRPr="004443A9">
        <w:t>Process facilities for the separation of hydrocarbons from produced water in the oilfield are critical to flow assurance, product quality and environmental compliance. The formation of metal naphthenates, which are emulsion stabilizers and equipment foulers, is deleterious to performance and integrity of these processes and facilities. Manual removal of deposits of these organic salts formed at the oil–water interface during separation processes is difficult and expensive; hence, the best operational option is inhibition. The conventional method for the inhibition of metal naphthenates, which relies on suppressing the deprotonation of naphthenic acids by common ion effect, is no longer tenable because it exacerbates internal corrosion problems in topside facilities. Current industry focus is on the development of effective surface active agents for inhibition of naphthenates. There are a plethora of chemical compounds with naphthenate inhibition potential such as sulphonates, phosphate esters, aminated phosphonates and sulphosuccinates, but compatibility issues make the choice of inhibitor a complicated process. In this paper, the drivers and mechanism of oilfield metal naphthenate formation are reviewed. Surfactants for oilfield metal naphthenate inhibition and the mechanisms of inhibition are highlighted with a view to process optimization.</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Emelyanova, E.V., Solyanikova, I.P., </w:t>
      </w:r>
      <w:r w:rsidR="00616347">
        <w:t xml:space="preserve">2020. </w:t>
      </w:r>
      <w:r w:rsidRPr="004443A9">
        <w:t xml:space="preserve">Evaluation of phenol-degradation activity of </w:t>
      </w:r>
      <w:r w:rsidRPr="004443A9">
        <w:rPr>
          <w:i/>
        </w:rPr>
        <w:t xml:space="preserve">Rhodococcus opacus </w:t>
      </w:r>
      <w:r w:rsidRPr="004443A9">
        <w:t>1CP using immobilized and intact cells. International Journal of Environmental Science and Technology 17, 2279-2294.</w:t>
      </w:r>
    </w:p>
    <w:p w:rsidR="00DB42FE" w:rsidRPr="004443A9" w:rsidRDefault="00DB42FE" w:rsidP="00616347">
      <w:pPr>
        <w:pStyle w:val="EndNoteBibliography"/>
        <w:ind w:left="360"/>
      </w:pPr>
      <w:r w:rsidRPr="004443A9">
        <w:t>https://doi.org/10.1007/s13762-019-02609-8</w:t>
      </w:r>
    </w:p>
    <w:p w:rsidR="00DB42FE" w:rsidRPr="004443A9" w:rsidRDefault="00DB42FE" w:rsidP="00616347">
      <w:pPr>
        <w:pStyle w:val="EndNoteBibliography"/>
        <w:spacing w:after="0"/>
        <w:ind w:left="360"/>
      </w:pPr>
      <w:r w:rsidRPr="004443A9">
        <w:t xml:space="preserve">Phenol is among the most distributed pollutants; phenol biodegradation is one of the most efficient and cost-effective pollutants degradation technologies. To estimate phenol-degradation activity of actinobacterium </w:t>
      </w:r>
      <w:r w:rsidRPr="004443A9">
        <w:rPr>
          <w:i/>
        </w:rPr>
        <w:t>Rhodococcus opacus</w:t>
      </w:r>
      <w:r w:rsidRPr="004443A9">
        <w:t xml:space="preserve"> 1CP, the pollutant-degrading microorganism, evaluation of the activity of phenol hydroxylase and other systems for phenol degradation was performed in this study. For the first time, phenol hydroxylase activity and activity of phenol transporting cellular systems of </w:t>
      </w:r>
      <w:r w:rsidRPr="004443A9">
        <w:rPr>
          <w:i/>
        </w:rPr>
        <w:t>R. opacus</w:t>
      </w:r>
      <w:r w:rsidRPr="004443A9">
        <w:t xml:space="preserve"> 1CP cells were assessed using biosensor technique based on the immobilized cells of the culture of interest. For phenol-induced cells and cells grown in the enriched medium, the responses to a substrate were compared. Two non-specific systems of phenol transport into 1CP cells were detected. These systems differed in the degree of affinity for phenol. It was shown for phenol-induced 1CP cells that phenol was transported into the cell by simple diffusion at phenol </w:t>
      </w:r>
      <w:r w:rsidRPr="004443A9">
        <w:lastRenderedPageBreak/>
        <w:t xml:space="preserve">concentrations above 0.1 µM. For </w:t>
      </w:r>
      <w:r w:rsidRPr="004443A9">
        <w:rPr>
          <w:i/>
        </w:rPr>
        <w:t>R. opacus</w:t>
      </w:r>
      <w:r w:rsidRPr="004443A9">
        <w:t xml:space="preserve"> 1CP phenol hydroxylase, </w:t>
      </w:r>
      <w:r w:rsidRPr="004443A9">
        <w:rPr>
          <w:i/>
        </w:rPr>
        <w:t>K</w:t>
      </w:r>
      <w:r w:rsidRPr="004443A9">
        <w:rPr>
          <w:i/>
          <w:vertAlign w:val="subscript"/>
        </w:rPr>
        <w:t>m app</w:t>
      </w:r>
      <w:r w:rsidRPr="004443A9">
        <w:t>, obtained with immobilized cells, was not greater than 1 µM. For the first time, immobilized cells-based technique (estimation of the responses to a substrate using immobilized and intact cells) was applied to predict the presence of at least two isozymes of phenol hydroxylases, which play metabolic and regulatory roles, and of a few differentially regulated catechol 1,2-dioxygenases in cells of this culture. This study confirmed that biosensor technique is simple, rapid and useful method for investigation of substrate metabolism.</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Ergal, I., Reischl, B., Hasibar, B., Manoharan, L., Zipperle, A., Bochmann, G., Fuchs, W., Rittmann, K.M.R.S., </w:t>
      </w:r>
      <w:r w:rsidR="00616347">
        <w:t xml:space="preserve">2020. </w:t>
      </w:r>
      <w:r w:rsidRPr="004443A9">
        <w:t xml:space="preserve">Formate utilization by the crenarchaeon </w:t>
      </w:r>
      <w:r w:rsidRPr="004443A9">
        <w:rPr>
          <w:i/>
        </w:rPr>
        <w:t>Desulfurococcus amylolyticus</w:t>
      </w:r>
      <w:r w:rsidRPr="004443A9">
        <w:t>. Microorganisms 8, 454.</w:t>
      </w:r>
    </w:p>
    <w:p w:rsidR="00DB42FE" w:rsidRPr="004443A9" w:rsidRDefault="00DB42FE" w:rsidP="00616347">
      <w:pPr>
        <w:pStyle w:val="EndNoteBibliography"/>
        <w:ind w:left="360"/>
      </w:pPr>
      <w:r w:rsidRPr="004443A9">
        <w:t>https://doi.org/10.3390/microorganisms8030454</w:t>
      </w:r>
    </w:p>
    <w:p w:rsidR="00DB42FE" w:rsidRPr="004443A9" w:rsidRDefault="00DB42FE" w:rsidP="00616347">
      <w:pPr>
        <w:pStyle w:val="EndNoteBibliography"/>
        <w:spacing w:after="0"/>
        <w:ind w:left="360"/>
      </w:pPr>
      <w:r w:rsidRPr="004443A9">
        <w:t>Formate is one of the key compounds of the microbial carbon and/or energy metabolism. It owes a significant contribution to various anaerobic syntrophic associations, and may become one of the energy storage compounds of modern energy biotechnology. Microbial growth on formate was demonstrated for different bacteria and archaea, but not yet for species of the archaeal phylum Crenarchaeota. Here, we show that Desulfurococcus amylolyticus DSM 16532, an anaerobic and hyperthermophilic Crenarchaeon, metabolises formate without the production of molecular hydrogen. Growth, substrate uptake, and production kinetics on formate, glucose, and glucose/formate mixtures exhibited similar specific growth rates and similar final cell densities. A whole cell conversion experiment on formate revealed that D. amylolyticus converts formate into carbon dioxide, acetate, citrate, and ethanol. Using bioinformatic analysis, we examined whether one of the currently known and postulated formate utilisation pathways could be operative in D. amylolyticus. This analysis indicated the possibility that D. amylolyticus uses formaldehyde producing enzymes for the assimilation of formate. Therefore, we propose that formate might be assimilated into biomass through formaldehyde dehydrogenase and the oxidative pentose phosphate pathway. These findings shed new light on the metabolic versatility of the archaeal phylum Crenarchaeota.</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Erhardt, A.M., Turchyn, A.V., Bradbury, H.J., Dickson, J.A.D., </w:t>
      </w:r>
      <w:r w:rsidR="00616347">
        <w:t xml:space="preserve">2020. </w:t>
      </w:r>
      <w:r w:rsidRPr="004443A9">
        <w:t>The calcium isotopic composition of carbonate hardground cements: A new record of changes in ocean chemistry? Chemical Geology 540, 119490.</w:t>
      </w:r>
    </w:p>
    <w:p w:rsidR="00DB42FE" w:rsidRPr="004443A9" w:rsidRDefault="00DB42FE" w:rsidP="00616347">
      <w:pPr>
        <w:pStyle w:val="EndNoteBibliography"/>
        <w:ind w:left="360"/>
      </w:pPr>
      <w:r w:rsidRPr="004443A9">
        <w:t>http://www.sciencedirect.com/science/article/pii/S0009254120300292</w:t>
      </w:r>
    </w:p>
    <w:p w:rsidR="00DB42FE" w:rsidRPr="004443A9" w:rsidRDefault="00DB42FE" w:rsidP="00616347">
      <w:pPr>
        <w:pStyle w:val="EndNoteBibliography"/>
        <w:spacing w:after="0"/>
        <w:ind w:left="360"/>
      </w:pPr>
      <w:r w:rsidRPr="004443A9">
        <w:t>Reconstructing changes in the calcium isotopic composition (δ</w:t>
      </w:r>
      <w:r w:rsidRPr="004443A9">
        <w:rPr>
          <w:vertAlign w:val="superscript"/>
        </w:rPr>
        <w:t>44</w:t>
      </w:r>
      <w:r w:rsidRPr="004443A9">
        <w:t>Ca) of the ocean over Earth history has been challenging. This difficulty is due to the large range of calcium isotope fractionation factors during mineral precipitation and the potential for overwriting the initial δ</w:t>
      </w:r>
      <w:r w:rsidRPr="004443A9">
        <w:rPr>
          <w:vertAlign w:val="superscript"/>
        </w:rPr>
        <w:t>44</w:t>
      </w:r>
      <w:r w:rsidRPr="004443A9">
        <w:t>Ca of minerals during shallow marine diagenesis. We present a new δ</w:t>
      </w:r>
      <w:r w:rsidRPr="004443A9">
        <w:rPr>
          <w:vertAlign w:val="superscript"/>
        </w:rPr>
        <w:t>44</w:t>
      </w:r>
      <w:r w:rsidRPr="004443A9">
        <w:t>Ca record measured in carbonate hardground cements, an inorganic carbonate-mineral precipitate that rapidly forms at or near the sediment-water interface. The range in the δ</w:t>
      </w:r>
      <w:r w:rsidRPr="004443A9">
        <w:rPr>
          <w:vertAlign w:val="superscript"/>
        </w:rPr>
        <w:t>44</w:t>
      </w:r>
      <w:r w:rsidRPr="004443A9">
        <w:t>Ca for any particular carbonate hardground cements is between 0.05 and 0.56‰. In some cases, the progressive increase in the δ</w:t>
      </w:r>
      <w:r w:rsidRPr="004443A9">
        <w:rPr>
          <w:vertAlign w:val="superscript"/>
        </w:rPr>
        <w:t>44</w:t>
      </w:r>
      <w:r w:rsidRPr="004443A9">
        <w:t xml:space="preserve">Ca during precipitation can be observed, consistent with precipitation in a ‘closed-system’. Our data show an average calcium isotope fractionation during carbonate hardground cement precipitation that is −0.57 ± 0.27‰, similar to the calcium isotope fractionation factor for inorganic calcite precipitates in previous </w:t>
      </w:r>
      <w:r w:rsidRPr="004443A9">
        <w:lastRenderedPageBreak/>
        <w:t>laboratory and modelling studies, and closer to what is considered a kinetic end member calcium isotope fractionation than growth at equilibrium. This is consistent with the rapid carbonate mineral precipitation expected for carbonate hardground cements. Our δ</w:t>
      </w:r>
      <w:r w:rsidRPr="004443A9">
        <w:rPr>
          <w:vertAlign w:val="superscript"/>
        </w:rPr>
        <w:t>44</w:t>
      </w:r>
      <w:r w:rsidRPr="004443A9">
        <w:t>Ca record over the Phanerozoic is similar to other calcium-bearing mineral records over the same time interval, with average δ</w:t>
      </w:r>
      <w:r w:rsidRPr="004443A9">
        <w:rPr>
          <w:vertAlign w:val="superscript"/>
        </w:rPr>
        <w:t>44</w:t>
      </w:r>
      <w:r w:rsidRPr="004443A9">
        <w:t>Ca becoming lower going back in time by about 0.5 to 0.7‰. Our results add further support for the evolution of seawater δ</w:t>
      </w:r>
      <w:r w:rsidRPr="004443A9">
        <w:rPr>
          <w:vertAlign w:val="superscript"/>
        </w:rPr>
        <w:t>44</w:t>
      </w:r>
      <w:r w:rsidRPr="004443A9">
        <w:t>Ca over time, and we discuss the possible causes of these changes with suggestions for future studies.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Fabbri, M., Wiemann, J., Manucci, F., Briggs, D.E.G., </w:t>
      </w:r>
      <w:r w:rsidR="00616347">
        <w:t xml:space="preserve">2020. </w:t>
      </w:r>
      <w:r w:rsidRPr="004443A9">
        <w:t>Three-dimensional soft tissue preservation revealed in the skin of a non-avian dinosaur. Palaeontology 63, 185-193.</w:t>
      </w:r>
    </w:p>
    <w:p w:rsidR="00DB42FE" w:rsidRPr="004443A9" w:rsidRDefault="00DB42FE" w:rsidP="00616347">
      <w:pPr>
        <w:pStyle w:val="EndNoteBibliography"/>
        <w:ind w:left="360"/>
      </w:pPr>
      <w:r w:rsidRPr="004443A9">
        <w:t>https://doi.org/10.1111/pala.12470</w:t>
      </w:r>
    </w:p>
    <w:p w:rsidR="00DB42FE" w:rsidRPr="004443A9" w:rsidRDefault="00DB42FE" w:rsidP="00616347">
      <w:pPr>
        <w:pStyle w:val="EndNoteBibliography"/>
        <w:spacing w:after="0"/>
        <w:ind w:left="360"/>
      </w:pPr>
      <w:r w:rsidRPr="004443A9">
        <w:t>The most commonly preserved soft tissues associated with ornithischian dinosaurs are skin remains. The apparent resistance of hadrosaur skin to decay, and its abundance in the fossil record relative to that of other tetrapods, has been attributed to factors such as thickness and composition. Here we report additional intrinsic factors within hadrosaur skin: 3D-preserved eumelanin-bearing bodies, dermal cells and blood vessel fragments in an organic matrix composed of protein fossilization products. The skin is much thinner than that of living mammals of similar size. It is likely that the preservation of hadrosaur skin is related to the arrangement of the layers composing it.</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Faisal, H.M.N., Katti, K.S., Katti, D.R., </w:t>
      </w:r>
      <w:r w:rsidR="00616347">
        <w:t xml:space="preserve">2020. </w:t>
      </w:r>
      <w:r w:rsidRPr="004443A9">
        <w:t>Modeling the behavior of organic kerogen in the proximity of calcite mineral by molecular dynamics simulations. Energy &amp; Fuels 34, 2849-2860.</w:t>
      </w:r>
    </w:p>
    <w:p w:rsidR="00DB42FE" w:rsidRPr="004443A9" w:rsidRDefault="00DB42FE" w:rsidP="00616347">
      <w:pPr>
        <w:pStyle w:val="EndNoteBibliography"/>
        <w:ind w:left="360"/>
      </w:pPr>
      <w:r w:rsidRPr="004443A9">
        <w:t>https://doi.org/10.1021/acs.energyfuels.9b03980</w:t>
      </w:r>
    </w:p>
    <w:p w:rsidR="00DB42FE" w:rsidRPr="004443A9" w:rsidRDefault="00DB42FE" w:rsidP="00616347">
      <w:pPr>
        <w:pStyle w:val="EndNoteBibliography"/>
        <w:spacing w:after="0"/>
        <w:ind w:left="360"/>
      </w:pPr>
      <w:r w:rsidRPr="004443A9">
        <w:t>Green River oil shale, a sedimentary rock, and an agglomerate of organic kerogen and minerals is the largest reserve of shale oil in the world. The production of shale oil requires the extraction of kerogen from the rock. Our prior experiments have shown that the kerogen in the shale lies in pores of tens of nanometers and is influenced by molecular interactions with the minerals. Calcite (CaCO</w:t>
      </w:r>
      <w:r w:rsidRPr="004443A9">
        <w:rPr>
          <w:vertAlign w:val="subscript"/>
        </w:rPr>
        <w:t>3</w:t>
      </w:r>
      <w:r w:rsidRPr="004443A9">
        <w:t>) is one of the predominant minerals present in Green River oil shale, and thus finding its interaction with kerogen is important. Molecular dynamics simulation is utilized in the present study to investigate the interactions between calcite mineral and the Green River kerogen, which is type I kerogen. The CHARMm force field parameters of calcite are derived from available parameters that are based on a rigid ion model. The expanded model of calcite is merged on top of the 12-unit kerogen model to study their interactions at NTP (Normal Temperature and Pressure) conditions. All the hydrocarbon fragments of kerogen in the proximity of calcite interact with the mineral with the exception of fragment 3. Fragments having olefinic hydrocarbons are attracted to the calcite mineral. These nonbonded interactions are primarily electrostatic. An energy table is developed to reveal the interfragment energy changes inside the kerogen macromolecule, in both the absence and presence of calcite. The presence of calcite mineral brings changes in the interfragment energies within the kerogen. The larger hydrocarbon fragments and independent ammonium ions are seen to have significant interactions among themselves. These findings provide an insight into the role of calcite–kerogen interactions on calcite–kerogen binding and the interfragment energies within the kerogen, which can help identify technologies to isolate kerogen from the Green River oil shale.</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lastRenderedPageBreak/>
        <w:t xml:space="preserve">Fakher, S., Ahdaya, M., Elturki, M., Imqam, A., </w:t>
      </w:r>
      <w:r w:rsidR="00616347">
        <w:t xml:space="preserve">2020. </w:t>
      </w:r>
      <w:r w:rsidRPr="004443A9">
        <w:t>Critical review of asphaltene properties and factors impacting its stability in crude oil. Journal of Petroleum Exploration and Production Technology 10, 1183-1200.</w:t>
      </w:r>
    </w:p>
    <w:p w:rsidR="00DB42FE" w:rsidRPr="004443A9" w:rsidRDefault="00DB42FE" w:rsidP="00616347">
      <w:pPr>
        <w:pStyle w:val="EndNoteBibliography"/>
        <w:ind w:left="360"/>
      </w:pPr>
      <w:r w:rsidRPr="004443A9">
        <w:t>https://doi.org/10.1007/s13202-019-00811-5</w:t>
      </w:r>
    </w:p>
    <w:p w:rsidR="00DB42FE" w:rsidRPr="004443A9" w:rsidRDefault="00DB42FE" w:rsidP="00616347">
      <w:pPr>
        <w:pStyle w:val="EndNoteBibliography"/>
        <w:spacing w:after="0"/>
        <w:ind w:left="360"/>
      </w:pPr>
      <w:r w:rsidRPr="004443A9">
        <w:t>Asphaltene is a component of crude oil that has been reported to cause severe problems during production and transportation of the oil from the reservoir. It is a solid component of the oil that has different structures and molecular makeup which makes it one of the most complex components of the oil. This research provides a detailed review of asphaltene properties, characteristics, and previous studies to construct a guideline to asphaltene and its impact on oil recovery. The research begins with an explanation of the main components of crude oil and their relation to asphaltene. The method by which asphaltene is quantified in the crude oil is then explained. Due to its different structures, asphaltene has been modeled using different models all of which are then discussed. All chemical analysis methods that have been used to characterize and study asphaltene are then mentioned and the most commonly used method is shown. Asphaltene will pass through several phases in the reservoir beginning from its stability phase up to its deposition in the pores, wellbore, and facilities. All these phases are explained, and the reason they may occur is mentioned. Following this, the methods by which asphaltene can damage oil recovery are presented. Asphaltene rheology and flow mechanism in the reservoir are then explained in detail including asphaltene onset pressure determination and significance and the use of micro- and nanofluidics to model asphaltene. Finally, the mathematical models, previous laboratory, and oilfield studies conducted to evaluate asphaltene are discussed. This research will help increase the understanding of asphaltene and provide a guideline to properly study and model asphaltene in future studies.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Fakher, S., Ahdaya, M., Elturki, M., Imqam, A., </w:t>
      </w:r>
      <w:r w:rsidR="00616347">
        <w:t xml:space="preserve">2020. </w:t>
      </w:r>
      <w:r w:rsidRPr="004443A9">
        <w:t>An experimental investigation of asphaltene stability in heavy crude oil during carbon dioxide injection. Journal of Petroleum Exploration and Production Technology 10, 919-931.</w:t>
      </w:r>
    </w:p>
    <w:p w:rsidR="00DB42FE" w:rsidRPr="004443A9" w:rsidRDefault="00DB42FE" w:rsidP="00616347">
      <w:pPr>
        <w:pStyle w:val="EndNoteBibliography"/>
        <w:ind w:left="360"/>
      </w:pPr>
      <w:r w:rsidRPr="004443A9">
        <w:t>https://doi.org/10.1007/s13202-019-00782-7</w:t>
      </w:r>
    </w:p>
    <w:p w:rsidR="00DB42FE" w:rsidRPr="004443A9" w:rsidRDefault="00DB42FE" w:rsidP="00616347">
      <w:pPr>
        <w:pStyle w:val="EndNoteBibliography"/>
        <w:spacing w:after="0"/>
        <w:ind w:left="360"/>
      </w:pPr>
      <w:r w:rsidRPr="004443A9">
        <w:t>Carbon dioxide (CO</w:t>
      </w:r>
      <w:r w:rsidRPr="004443A9">
        <w:rPr>
          <w:vertAlign w:val="subscript"/>
        </w:rPr>
        <w:t>2</w:t>
      </w:r>
      <w:r w:rsidRPr="004443A9">
        <w:t>) injection is one of the most applied enhanced oil recovery methods in the hydrocarbon industry, since it has the potential to increase oil recovery significantly and can help reduce greenhouse gases through carbon storage in hydrocarbon reservoirs. Carbon dioxide injection has a severe drawback, however, since it induces asphaltene precipitation by disrupting the asphaltene stability in crude oil that bears even the slightest asphaltene concentration. This can result in severe operational problems, such as reservoir pore plugging and wellbore plugging. This research investigates some of the main factors that impact asphaltene stability in crude oil during CO</w:t>
      </w:r>
      <w:r w:rsidRPr="004443A9">
        <w:rPr>
          <w:vertAlign w:val="subscript"/>
        </w:rPr>
        <w:t>2</w:t>
      </w:r>
      <w:r w:rsidRPr="004443A9">
        <w:t xml:space="preserve"> injection. Initially, asphaltene precipitation, flocculation, and deposition were tested using visual tests without CO</w:t>
      </w:r>
      <w:r w:rsidRPr="004443A9">
        <w:rPr>
          <w:vertAlign w:val="subscript"/>
        </w:rPr>
        <w:t>2</w:t>
      </w:r>
      <w:r w:rsidRPr="004443A9">
        <w:t xml:space="preserve"> in order to evaluate the effect of oil viscosity and temperature on asphaltene stability and content in the crude oil. The results obtained from the visualization experiments were correlated to the Yen–Mullins asphaltene model and were used to select the proper chemical to alter the oil’s viscosity without strongly affecting asphaltene stability. After performing the visual asphaltene tests, a specially designed filtration vessel was used to perform the oil filtration experiments using filter membranes with a micron and nanometer pore size. The effect of varying CO</w:t>
      </w:r>
      <w:r w:rsidRPr="004443A9">
        <w:rPr>
          <w:vertAlign w:val="subscript"/>
        </w:rPr>
        <w:t>2</w:t>
      </w:r>
      <w:r w:rsidRPr="004443A9">
        <w:t xml:space="preserve"> injection pressure, oil viscosity, filter membrane pore size, and filter membrane thickness on asphaltene stability in crude oil was investigated. The results were then correlated with the Yen–</w:t>
      </w:r>
      <w:r w:rsidRPr="004443A9">
        <w:lastRenderedPageBreak/>
        <w:t>Mullins asphaltene model to characterize the asphaltene size within the oil as well. Results showed that as the oil viscosity increased, the asphaltene concentration in the oil also increased. Also, the asphaltene concentration and filter cake thickness increased with the decrease in filter membrane pore size, since the asphaltene particles either plugged up the smaller pores, or the asphaltene nanoaggregates were larger than the pore sizes, and thus the majority of them could not pass. This research studies asphaltene instability in crude oil during CO</w:t>
      </w:r>
      <w:r w:rsidRPr="004443A9">
        <w:rPr>
          <w:vertAlign w:val="subscript"/>
        </w:rPr>
        <w:t>2</w:t>
      </w:r>
      <w:r w:rsidRPr="004443A9">
        <w:t xml:space="preserve"> injection in different pore sizes, and correlates the results to the principle of the Yen–Mullins model for asphaltenes. The results from this research can help emphasize the factors that will impact asphaltene stability during CO</w:t>
      </w:r>
      <w:r w:rsidRPr="004443A9">
        <w:rPr>
          <w:vertAlign w:val="subscript"/>
        </w:rPr>
        <w:t>2</w:t>
      </w:r>
      <w:r w:rsidRPr="004443A9">
        <w:t xml:space="preserve"> injection in different pore sizes in order to help reduce asphaltene-related problems that arise during CO</w:t>
      </w:r>
      <w:r w:rsidRPr="004443A9">
        <w:rPr>
          <w:vertAlign w:val="subscript"/>
        </w:rPr>
        <w:t>2</w:t>
      </w:r>
      <w:r w:rsidRPr="004443A9">
        <w:t xml:space="preserve"> injection in hydrocarbon reservoirs.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Faksness, L.-G., Altin, D., Størseth, T.R., Nordtug, T., Hansen, B.H., </w:t>
      </w:r>
      <w:r w:rsidR="00616347">
        <w:t xml:space="preserve">2020. </w:t>
      </w:r>
      <w:r w:rsidRPr="004443A9">
        <w:t>Comparison of artificially weathered Macondo oil with field samples and evidence that weathering does not increase environmental acute toxicity. Marine Environmental Research 157, 104928.</w:t>
      </w:r>
    </w:p>
    <w:p w:rsidR="00DB42FE" w:rsidRPr="004443A9" w:rsidRDefault="00DB42FE" w:rsidP="00616347">
      <w:pPr>
        <w:pStyle w:val="EndNoteBibliography"/>
        <w:ind w:left="360"/>
      </w:pPr>
      <w:r w:rsidRPr="004443A9">
        <w:t>http://www.sciencedirect.com/science/article/pii/S0141113619306464</w:t>
      </w:r>
    </w:p>
    <w:p w:rsidR="00DB42FE" w:rsidRPr="004443A9" w:rsidRDefault="00DB42FE" w:rsidP="00616347">
      <w:pPr>
        <w:pStyle w:val="EndNoteBibliography"/>
        <w:spacing w:after="0"/>
        <w:ind w:left="360"/>
      </w:pPr>
      <w:r w:rsidRPr="004443A9">
        <w:t xml:space="preserve">Macondo source oils and artificially weathered oil residues from 150 °C+ to 300 °C+, including artificially photo oxidized oils, were prepared and used for generating low energy water accommodated fractions (LE-WAFs) in order to assess the impact of oil weathering on WAF chemistry composition and toxicity to marine organisms. Two pelagic species representing primary producers (the marine algae </w:t>
      </w:r>
      <w:r w:rsidRPr="004443A9">
        <w:rPr>
          <w:i/>
        </w:rPr>
        <w:t>Skeletonema pseudocostatum</w:t>
      </w:r>
      <w:r w:rsidRPr="004443A9">
        <w:t xml:space="preserve">) and invertebrates (the marine copepod </w:t>
      </w:r>
      <w:r w:rsidRPr="004443A9">
        <w:rPr>
          <w:i/>
        </w:rPr>
        <w:t>Acartia tonsa</w:t>
      </w:r>
      <w:r w:rsidRPr="004443A9">
        <w:t>) were tested. Obtained acute toxicity levels, expressed as EC/LC50 values, were in the same range or above the obtained maximum WAF concentrations for WAFs from most weathering degrees. Based on % WAF dilutions, reduced toxicity was determined as a function of weathering. The chemical compositions of all WAFs were compared to compositions obtained from water samples reported in the GRIIDC database using multivariate analysis, indicating that WAFs of photo oxidized and two field weathered oils resembled the field data the most.</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Fan, C., Li, H., Qin, Q., He, S., Zhong, C., </w:t>
      </w:r>
      <w:r w:rsidR="00616347">
        <w:t xml:space="preserve">2020. </w:t>
      </w:r>
      <w:r w:rsidRPr="004443A9">
        <w:t>Geological conditions and exploration potential of shale gas reservoir in Wufeng and Longmaxi Formation of southeastern Sichuan Basin, China. Journal of Petroleum Science and Engineering 191, 107138.</w:t>
      </w:r>
    </w:p>
    <w:p w:rsidR="00DB42FE" w:rsidRPr="004443A9" w:rsidRDefault="00DB42FE" w:rsidP="00616347">
      <w:pPr>
        <w:pStyle w:val="EndNoteBibliography"/>
        <w:ind w:left="360"/>
      </w:pPr>
      <w:r w:rsidRPr="004443A9">
        <w:t>http://www.sciencedirect.com/science/article/pii/S0920410520302266</w:t>
      </w:r>
    </w:p>
    <w:p w:rsidR="00DB42FE" w:rsidRPr="004443A9" w:rsidRDefault="00DB42FE" w:rsidP="00616347">
      <w:pPr>
        <w:pStyle w:val="EndNoteBibliography"/>
        <w:spacing w:after="0"/>
        <w:ind w:left="360"/>
      </w:pPr>
      <w:r w:rsidRPr="004443A9">
        <w:t xml:space="preserve">The Lower Paleozoic Ordovician Wufeng Formation and the Silurian Longmaxi Formation shale in the southeastern part of Sichuan Basin in China are the key strata for shale gas exploration. In this paper, based on a large number of outcrops, cores and natural gamma spectroscopy logs combined with scanning electron microscopy, geochemical parameter testing and mineral component analysis, the geological conditions and exploration potential of shale gas accumulation were studied in this area, and the relationship between structure and shale gas preservation is discussed. The vertical reduction in the U/Th ratio measured in the outcrop sandstone lenses and core horizontal bedding and observed in the energy spectrum logs indicates that the sedimentary water body transformed from a low-energy anoxic reducing environment to a high-energy oxidizing environment. The </w:t>
      </w:r>
      <w:r w:rsidRPr="004443A9">
        <w:rPr>
          <w:i/>
        </w:rPr>
        <w:t>TI</w:t>
      </w:r>
      <w:r w:rsidRPr="004443A9">
        <w:t xml:space="preserve"> index and the kerogen carbon isotope indicate that the organic matter type of the shale is mainly type I kerogen. The TOC content of high-quality shale is generally above 2.50%, and the </w:t>
      </w:r>
      <w:r w:rsidRPr="004443A9">
        <w:rPr>
          <w:i/>
        </w:rPr>
        <w:t>R</w:t>
      </w:r>
      <w:r w:rsidRPr="004443A9">
        <w:rPr>
          <w:vertAlign w:val="subscript"/>
        </w:rPr>
        <w:t>o</w:t>
      </w:r>
      <w:r w:rsidRPr="004443A9">
        <w:t xml:space="preserve"> value is between 2.00% and 3.08%. High organic matter abundance, moderate thermal evolution and a large </w:t>
      </w:r>
      <w:r w:rsidRPr="004443A9">
        <w:lastRenderedPageBreak/>
        <w:t>thickness of high-quality shale ensure an adequate supply of hydrocarbon resources. Multiple types of inorganic pores, primary organic pores and pores formed during hydrocarbon generation provide abundant reservoir space for the enrichment of shale gas. The tectonics have an important influence on the preservation of shale gas. Moderate fracture development, a late tectonic uplift time, small-scale tectonic uplift, and high formation pressure coefficient are conducive to the preservation of shale gas, and the gas content and productivity will be higher. Overall, a structural stability zone with a high formation pressure coefficient is a favorable area for shale gas exploration.</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Fan, S., Liu, H., Wang, J., Chen, H., Bai, R., Guo, A., Chen, K., Huang, J., Wang, Z., </w:t>
      </w:r>
      <w:r w:rsidR="00616347">
        <w:t xml:space="preserve">2020. </w:t>
      </w:r>
      <w:r w:rsidRPr="004443A9">
        <w:t>Microwave-assisted petroporphyrin release from asphaltene aggregates in polar solvents. Energy &amp; Fuels 34, 2683-2692.</w:t>
      </w:r>
    </w:p>
    <w:p w:rsidR="00DB42FE" w:rsidRPr="004443A9" w:rsidRDefault="00DB42FE" w:rsidP="00616347">
      <w:pPr>
        <w:pStyle w:val="EndNoteBibliography"/>
        <w:ind w:left="360"/>
      </w:pPr>
      <w:r w:rsidRPr="004443A9">
        <w:t>https://doi.org/10.1021/acs.energyfuels.9b03494</w:t>
      </w:r>
    </w:p>
    <w:p w:rsidR="00DB42FE" w:rsidRPr="004443A9" w:rsidRDefault="00DB42FE" w:rsidP="00616347">
      <w:pPr>
        <w:pStyle w:val="EndNoteBibliography"/>
        <w:spacing w:after="0"/>
        <w:ind w:left="360"/>
      </w:pPr>
      <w:r w:rsidRPr="004443A9">
        <w:t xml:space="preserve">This work presents an efficient approach for the primary separation of the petroporphyrin component from asphaltene aggregates. The </w:t>
      </w:r>
      <w:r w:rsidRPr="004443A9">
        <w:rPr>
          <w:i/>
        </w:rPr>
        <w:t>n</w:t>
      </w:r>
      <w:r w:rsidRPr="004443A9">
        <w:t>-pentane asphaltenes separated from the vacuum residue of Canadian oil sands bitumen were used as the feedstock. The release behavior of petroporphyrins from feed asphaltenes in polar solvents with the assistance of microwave irradiation was investigated. UV–vis spectroscopy was utilized to calculate the petroporphyrin release efficiency (PRE). The effects of asphaltene concentrations and solvent properties on the PRE were discussed. Results show that, under the microwave irradiation, asphaltenes could be rapidly separated into soluble and insoluble fractions. The solubles are enriched with vanadyl porphyrins, while the insolubles present only weak absorption of nickel porphyrins at proper asphaltene concentrations. The dispersion force (</w:t>
      </w:r>
      <w:r w:rsidRPr="004443A9">
        <w:rPr>
          <w:i/>
        </w:rPr>
        <w:t>f</w:t>
      </w:r>
      <w:r w:rsidRPr="004443A9">
        <w:rPr>
          <w:vertAlign w:val="subscript"/>
        </w:rPr>
        <w:t>d</w:t>
      </w:r>
      <w:r w:rsidRPr="004443A9">
        <w:t>) of solvents has a strong correlation with the PRE. Under the optimized conditions of the methanol/toluene volume ratio of 2:1, the microwave time of 10 min, and the asphaltene concentration of 0.08 g/L, the PRE can reach up to 45%. Compared with the traditional solvent extraction method, the PRE of this new method is improved prominently. The possible mechanism of selective activation of petroporphyrin motivated by the microwave irradiation and the formation of asphaltene vesicles is proposed. This work could provide a more efficient technique to purify petroporphyrins from asphaltenes and could give insight into the interactions between petroporphyrins and asphaltene aggregates.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Fang, H., Sang, S., Liu, S., </w:t>
      </w:r>
      <w:r w:rsidR="00616347">
        <w:t xml:space="preserve">2020. </w:t>
      </w:r>
      <w:r w:rsidRPr="004443A9">
        <w:t>A methodology for characterizing the multiscale pores and fractures in anthracite and semi-anthracite coals and its application in analysis of the storage and permeable capacity of coalbed methane. SPE Reservoir Evaluation &amp; Engineering 23, 177-186.</w:t>
      </w:r>
    </w:p>
    <w:p w:rsidR="00DB42FE" w:rsidRPr="004443A9" w:rsidRDefault="00DB42FE" w:rsidP="00616347">
      <w:pPr>
        <w:pStyle w:val="EndNoteBibliography"/>
        <w:ind w:left="360"/>
      </w:pPr>
      <w:r w:rsidRPr="004443A9">
        <w:t>https://doi.org/10.2118/195672-PA</w:t>
      </w:r>
    </w:p>
    <w:p w:rsidR="00DB42FE" w:rsidRPr="004443A9" w:rsidRDefault="00DB42FE" w:rsidP="00616347">
      <w:pPr>
        <w:pStyle w:val="EndNoteBibliography"/>
        <w:spacing w:after="0"/>
        <w:ind w:left="360"/>
      </w:pPr>
      <w:r w:rsidRPr="004443A9">
        <w:t xml:space="preserve">Pores and fractures are important components in coal that provide storage space and migration channels for coalbed methane (CBM). To study the importance of pores and fractures to CBM, a combined technique of focused-ion-beam scanning electron microscope (FIB-SEM), X-ray microcomputed tomography (µ-CT), and 3D visualization technology is applied to study the quantitative characterization of multiscale pores and fractures and show their significance for the storage and permeable capacity of CBM. Two high rank coals, anthracite coal (AC) and semi-anthracite coal (SAC), were collected from the southern Qinshui Basin. The results show that two samples show primarily developed organic pores that are filled with minerals. The developmental morphology of the dissolution pores, the shrinkage-induced pores, and the microfractures have </w:t>
      </w:r>
      <w:r w:rsidRPr="004443A9">
        <w:lastRenderedPageBreak/>
        <w:t>important influences on the pore connectivity. The pore connectivity of the SAC sample is poorer than that of the AC sample, and the development of pores and throats is unbalanced. The throats with smaller radii have larger contributions to the volume of the throats. Both samples are beneficial to the adsorption and storage of CBM, but the permeability of the AC sample is better than that of the SAC sample. The porosity of the AC sample is larger than that of the SAC sample, and the microscale pores and nanoscale pores have a larger contribution to the porosity of the SAC and AC samples, respectively. On the basis of the 2D morphology observation, 3D reconstruction analysis, and comparative research of the extracted data, we found that the pore and fracture network of the AC sample contributes more to the storage and permeable capacity of CBM. The introduction and application of the new methodology of the combined technology can enrich the study of multiscale pores and fractures from the nanometer scale to the micron scale and can provide new suggestions for reservoir evaluation in the coal geology sciences.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Farimani, A.M., Hassannejad, H., Nouri, A., Barati, A., </w:t>
      </w:r>
      <w:r w:rsidR="00616347">
        <w:t xml:space="preserve">2020. </w:t>
      </w:r>
      <w:r w:rsidRPr="004443A9">
        <w:t>Using oral penicillin as a novel environmentally friendly corrosion inhibitor for low carbon steel in an environment containing hydrogen sulfide corrosive gas. Journal of Natural Gas Science and Engineering 77, 103262.</w:t>
      </w:r>
    </w:p>
    <w:p w:rsidR="00DB42FE" w:rsidRPr="004443A9" w:rsidRDefault="00DB42FE" w:rsidP="00616347">
      <w:pPr>
        <w:pStyle w:val="EndNoteBibliography"/>
        <w:ind w:left="360"/>
      </w:pPr>
      <w:r w:rsidRPr="004443A9">
        <w:t>http://www.sciencedirect.com/science/article/pii/S1875510020301165</w:t>
      </w:r>
    </w:p>
    <w:p w:rsidR="00DB42FE" w:rsidRPr="004443A9" w:rsidRDefault="00DB42FE" w:rsidP="00616347">
      <w:pPr>
        <w:pStyle w:val="EndNoteBibliography"/>
        <w:spacing w:after="0"/>
        <w:ind w:left="360"/>
      </w:pPr>
      <w:r w:rsidRPr="004443A9">
        <w:t>In this study, the effect of penicillin V (a common antibiotic in the treatment of infectious diseases) as an environmentally friendly inhibitor on low carbon steel in the simulated acidic sour water corrosion (corrosive oxygenated solution based on Na</w:t>
      </w:r>
      <w:r w:rsidRPr="004443A9">
        <w:rPr>
          <w:vertAlign w:val="subscript"/>
        </w:rPr>
        <w:t>2</w:t>
      </w:r>
      <w:r w:rsidRPr="004443A9">
        <w:t>S + Na</w:t>
      </w:r>
      <w:r w:rsidRPr="004443A9">
        <w:rPr>
          <w:vertAlign w:val="subscript"/>
        </w:rPr>
        <w:t>2</w:t>
      </w:r>
      <w:r w:rsidRPr="004443A9">
        <w:t>SO</w:t>
      </w:r>
      <w:r w:rsidRPr="004443A9">
        <w:rPr>
          <w:vertAlign w:val="subscript"/>
        </w:rPr>
        <w:t>4</w:t>
      </w:r>
      <w:r w:rsidRPr="004443A9">
        <w:t>; pH = 3) were investigated by potentiodynamic polarization and immersion tests at different temperatures and concentrations of the inhibitor. The results showed that at a concentration of 500 ppm at 25 °C, the inhibition efficiency was 94.2%, which decreased with increasing temperature. The results of the FTIR test from the surface of the samples indicate the possible formation of compounds of nitrogen-hydrogen, carbon-nitrogen, and generally nitrogen with heteroatoms as well as the presence of oxygenated compounds similar to those of organic compounds. The surface adsorption of the inhibitor accomplishes the inhibition mechanism onto the metal surface, and its adsorption is carried out following the Langmuir adsorption isotherm. Thermodynamic parameters were also calculated and discussed. UV–vis analysis results showed that the inhibitor on the metal surface formed complexes with metal ions through its functional groups. The complex built on the metal surface occupies a large surface area and by blocking the metal from corrosive factors, it reduces the charge and ion transfer at the metal surface and increases its corrosion resistance.</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Farrington, J.W., Jia, X., Tripp, B.W., Livramento, J.B., Frew, N.M., </w:t>
      </w:r>
      <w:r w:rsidR="00616347">
        <w:t xml:space="preserve">2020. </w:t>
      </w:r>
      <w:r w:rsidRPr="004443A9">
        <w:t xml:space="preserve">Fuel oil hydrocarbons in </w:t>
      </w:r>
      <w:r w:rsidRPr="004443A9">
        <w:rPr>
          <w:i/>
        </w:rPr>
        <w:t>Mytilus edulis</w:t>
      </w:r>
      <w:r w:rsidRPr="004443A9">
        <w:t xml:space="preserve"> in Buzzards Bay, Massachusetts USA: Comparison of data from two oil spills. Marine Pollution Bulletin 153, 111034.</w:t>
      </w:r>
    </w:p>
    <w:p w:rsidR="00DB42FE" w:rsidRPr="004443A9" w:rsidRDefault="00DB42FE" w:rsidP="00616347">
      <w:pPr>
        <w:pStyle w:val="EndNoteBibliography"/>
        <w:ind w:left="360"/>
      </w:pPr>
      <w:r w:rsidRPr="004443A9">
        <w:t>http://www.sciencedirect.com/science/article/pii/S0025326X20301521</w:t>
      </w:r>
    </w:p>
    <w:p w:rsidR="00DB42FE" w:rsidRPr="004443A9" w:rsidRDefault="00DB42FE" w:rsidP="00616347">
      <w:pPr>
        <w:pStyle w:val="EndNoteBibliography"/>
        <w:spacing w:after="0"/>
        <w:ind w:left="360"/>
      </w:pPr>
      <w:r w:rsidRPr="004443A9">
        <w:t xml:space="preserve">A small No. 2 fuel oil spill contaminated a </w:t>
      </w:r>
      <w:r w:rsidRPr="004443A9">
        <w:rPr>
          <w:i/>
        </w:rPr>
        <w:t>Mytilus edulis</w:t>
      </w:r>
      <w:r w:rsidRPr="004443A9">
        <w:t xml:space="preserve"> population in the Cape Cod Canal, Massachusetts, USA during a three day period in April 1983. Retention and release of the fuel oil compounds were assessed over several days and months. Compounds analyzed included n-alkanes, pristane, phytane, C</w:t>
      </w:r>
      <w:r w:rsidRPr="004443A9">
        <w:rPr>
          <w:vertAlign w:val="subscript"/>
        </w:rPr>
        <w:t>2</w:t>
      </w:r>
      <w:r w:rsidRPr="004443A9">
        <w:t xml:space="preserve"> -, C</w:t>
      </w:r>
      <w:r w:rsidRPr="004443A9">
        <w:rPr>
          <w:vertAlign w:val="subscript"/>
        </w:rPr>
        <w:t>3</w:t>
      </w:r>
      <w:r w:rsidRPr="004443A9">
        <w:t xml:space="preserve"> –naphthalenes, flourene, phenanthrene, C</w:t>
      </w:r>
      <w:r w:rsidRPr="004443A9">
        <w:rPr>
          <w:vertAlign w:val="subscript"/>
        </w:rPr>
        <w:t>1</w:t>
      </w:r>
      <w:r w:rsidRPr="004443A9">
        <w:t>-, C</w:t>
      </w:r>
      <w:r w:rsidRPr="004443A9">
        <w:rPr>
          <w:vertAlign w:val="subscript"/>
        </w:rPr>
        <w:t>2</w:t>
      </w:r>
      <w:r w:rsidRPr="004443A9">
        <w:t>-, C</w:t>
      </w:r>
      <w:r w:rsidRPr="004443A9">
        <w:rPr>
          <w:vertAlign w:val="subscript"/>
        </w:rPr>
        <w:t>3</w:t>
      </w:r>
      <w:r w:rsidRPr="004443A9">
        <w:t xml:space="preserve"> – phenanthrenes. Biological half-lives were calculated for the release of the compounds up to day 29 and ranged from 1.5 days to 9.9 days. Results compared favorably with similar data from a small No. 2 fuel oil spill </w:t>
      </w:r>
      <w:r w:rsidRPr="004443A9">
        <w:lastRenderedPageBreak/>
        <w:t xml:space="preserve">contaminating the same population of </w:t>
      </w:r>
      <w:r w:rsidRPr="004443A9">
        <w:rPr>
          <w:i/>
        </w:rPr>
        <w:t>Mytilus edulis</w:t>
      </w:r>
      <w:r w:rsidRPr="004443A9">
        <w:t xml:space="preserve"> at the same time of year, April 1978. Gas chromatography-mass spectrometer analyses of C</w:t>
      </w:r>
      <w:r w:rsidRPr="004443A9">
        <w:rPr>
          <w:vertAlign w:val="subscript"/>
        </w:rPr>
        <w:t>2</w:t>
      </w:r>
      <w:r w:rsidRPr="004443A9">
        <w:t>-, and C</w:t>
      </w:r>
      <w:r w:rsidRPr="004443A9">
        <w:rPr>
          <w:vertAlign w:val="subscript"/>
        </w:rPr>
        <w:t>3</w:t>
      </w:r>
      <w:r w:rsidRPr="004443A9">
        <w:t>- phenanthrenes documented changes in relative abundance within the isomer groupings after day 29. This suggests a within isomer grouping molecular structural control on release or enzymatic catalyzed alteration of these compounds.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Favero, A., Daigneault, A., Sohngen, B., </w:t>
      </w:r>
      <w:r w:rsidR="00616347">
        <w:t xml:space="preserve">2020. </w:t>
      </w:r>
      <w:r w:rsidRPr="004443A9">
        <w:t>Forests: Carbon sequestration, biomass energy, or both? Science Advances 6, eaay6792.</w:t>
      </w:r>
    </w:p>
    <w:p w:rsidR="00DB42FE" w:rsidRPr="004443A9" w:rsidRDefault="00DB42FE" w:rsidP="00616347">
      <w:pPr>
        <w:pStyle w:val="EndNoteBibliography"/>
        <w:ind w:left="360"/>
      </w:pPr>
      <w:r w:rsidRPr="004443A9">
        <w:t>http://advances.sciencemag.org/content/6/13/eaay6792.abstract</w:t>
      </w:r>
    </w:p>
    <w:p w:rsidR="00DB42FE" w:rsidRPr="004443A9" w:rsidRDefault="00DB42FE" w:rsidP="00616347">
      <w:pPr>
        <w:pStyle w:val="EndNoteBibliography"/>
        <w:spacing w:after="0"/>
        <w:ind w:left="360"/>
      </w:pPr>
      <w:r w:rsidRPr="004443A9">
        <w:t>There is a continuing debate over the role that woody bioenergy plays in climate mitigation. This paper clarifies this controversy and illustrates the impacts of woody biomass demand on forest harvests, prices, timber management investments and intensity, forest area, and the resulting carbon balance under different climate mitigation policies. Increased bioenergy demand increases forest carbon stocks thanks to afforestation activities and more intensive management relative to a no-bioenergy case. Some natural forests, however, are converted to more intensive management, with potential biodiversity losses. Incentivizing both wood-based bioenergy and forest sequestration could increase carbon sequestration and conserve natural forests simultaneously. We conclude that the expanded use of wood for bioenergy will result in net carbon benefits, but an efficient policy also needs to regulate forest carbon sequestration.</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Feng, C., Li, T., He, W., Zheng, M., </w:t>
      </w:r>
      <w:r w:rsidR="00616347">
        <w:t xml:space="preserve">2020. </w:t>
      </w:r>
      <w:r w:rsidRPr="004443A9">
        <w:t>Organic geochemical traits and paleo-depositional conditions of source rocks from the Carboniferous to Permian sediments of the northern Mahu Sag, Junggar Basin, China. Journal of Petroleum Science and Engineering 191, 107117.</w:t>
      </w:r>
    </w:p>
    <w:p w:rsidR="00DB42FE" w:rsidRPr="004443A9" w:rsidRDefault="00DB42FE" w:rsidP="00616347">
      <w:pPr>
        <w:pStyle w:val="EndNoteBibliography"/>
        <w:ind w:left="360"/>
      </w:pPr>
      <w:r w:rsidRPr="004443A9">
        <w:t>http://www.sciencedirect.com/science/article/pii/S0920410520302072</w:t>
      </w:r>
    </w:p>
    <w:p w:rsidR="00DB42FE" w:rsidRPr="004443A9" w:rsidRDefault="00DB42FE" w:rsidP="00616347">
      <w:pPr>
        <w:pStyle w:val="EndNoteBibliography"/>
        <w:spacing w:after="0"/>
        <w:ind w:left="360"/>
      </w:pPr>
      <w:r w:rsidRPr="004443A9">
        <w:t>The organic geochemical traits of Carboniferous to Permian hydrocarbon source rocks (SRs) from the Mahu Sag, Junggar basin, have been investigated in terms of thermal maturity (TM), hydrocarbon potential (HP), organic matter (OM) source input and paleoenvironment. A total of forty-seven (47) core samples from five (5) wells have been surveyed through standard organic geochemical approaches, including the total organic carbon (TOC) and the rock pyrolysis (RP) measurement. Fifteen (15) of the samples were bitumen extraction and fractionation, and their aliphatic hydrocarbons and aromatic hydrocarbons were carried out for the gas chromatography–mass spectrometry (GC-MS) analysis. The results indicate that the studied samples came from the C and the P</w:t>
      </w:r>
      <w:r w:rsidRPr="004443A9">
        <w:rPr>
          <w:vertAlign w:val="subscript"/>
        </w:rPr>
        <w:t>1</w:t>
      </w:r>
      <w:r w:rsidRPr="004443A9">
        <w:rPr>
          <w:i/>
        </w:rPr>
        <w:t>f</w:t>
      </w:r>
      <w:r w:rsidRPr="004443A9">
        <w:t xml:space="preserve"> are the moderate or good SRs, but samples from the P</w:t>
      </w:r>
      <w:r w:rsidRPr="004443A9">
        <w:rPr>
          <w:vertAlign w:val="subscript"/>
        </w:rPr>
        <w:t>2</w:t>
      </w:r>
      <w:r w:rsidRPr="004443A9">
        <w:rPr>
          <w:i/>
        </w:rPr>
        <w:t>w</w:t>
      </w:r>
      <w:r w:rsidRPr="004443A9">
        <w:t xml:space="preserve"> and P</w:t>
      </w:r>
      <w:r w:rsidRPr="004443A9">
        <w:rPr>
          <w:vertAlign w:val="subscript"/>
        </w:rPr>
        <w:t>1</w:t>
      </w:r>
      <w:r w:rsidRPr="004443A9">
        <w:rPr>
          <w:i/>
        </w:rPr>
        <w:t>j</w:t>
      </w:r>
      <w:r w:rsidRPr="004443A9">
        <w:t xml:space="preserve"> are not good enough, most of them are poor or moderate SRs. The TM was indicated by the temperature of maximum pyrolysis yield (Tmax), the Carbon Preference Index (CPI) and Odd to Even Preference (OEP) values, the C</w:t>
      </w:r>
      <w:r w:rsidRPr="004443A9">
        <w:rPr>
          <w:vertAlign w:val="subscript"/>
        </w:rPr>
        <w:t>30</w:t>
      </w:r>
      <w:r w:rsidRPr="004443A9">
        <w:t xml:space="preserve"> M/H versus Tm/Ts, the C</w:t>
      </w:r>
      <w:r w:rsidRPr="004443A9">
        <w:rPr>
          <w:vertAlign w:val="subscript"/>
        </w:rPr>
        <w:t>29</w:t>
      </w:r>
      <w:r w:rsidRPr="004443A9">
        <w:t xml:space="preserve"> ββ/(ββ+αα) versus C</w:t>
      </w:r>
      <w:r w:rsidRPr="004443A9">
        <w:rPr>
          <w:vertAlign w:val="subscript"/>
        </w:rPr>
        <w:t>29</w:t>
      </w:r>
      <w:r w:rsidRPr="004443A9">
        <w:t xml:space="preserve"> 20S/(20S + 20R), and the alkyl naphthalene ratios. Result shows that almost all the samples from the P</w:t>
      </w:r>
      <w:r w:rsidRPr="004443A9">
        <w:rPr>
          <w:vertAlign w:val="subscript"/>
        </w:rPr>
        <w:t>1</w:t>
      </w:r>
      <w:r w:rsidRPr="004443A9">
        <w:rPr>
          <w:i/>
        </w:rPr>
        <w:t>f</w:t>
      </w:r>
      <w:r w:rsidRPr="004443A9">
        <w:t xml:space="preserve"> are in the mature stage at present; some samples of P</w:t>
      </w:r>
      <w:r w:rsidRPr="004443A9">
        <w:rPr>
          <w:vertAlign w:val="subscript"/>
        </w:rPr>
        <w:t>1</w:t>
      </w:r>
      <w:r w:rsidRPr="004443A9">
        <w:rPr>
          <w:i/>
        </w:rPr>
        <w:t>j</w:t>
      </w:r>
      <w:r w:rsidRPr="004443A9">
        <w:t xml:space="preserve"> and C are in the premature or mature stage, others are completely immature; all P</w:t>
      </w:r>
      <w:r w:rsidRPr="004443A9">
        <w:rPr>
          <w:vertAlign w:val="subscript"/>
        </w:rPr>
        <w:t>2</w:t>
      </w:r>
      <w:r w:rsidRPr="004443A9">
        <w:rPr>
          <w:i/>
        </w:rPr>
        <w:t>w</w:t>
      </w:r>
      <w:r w:rsidRPr="004443A9">
        <w:t xml:space="preserve"> samples are in the immature stage at present. The OM source was indicated by the </w:t>
      </w:r>
      <w:r w:rsidRPr="004443A9">
        <w:rPr>
          <w:i/>
        </w:rPr>
        <w:t>n</w:t>
      </w:r>
      <w:r w:rsidRPr="004443A9">
        <w:t>-Alkane distribution, the relative quantity of C</w:t>
      </w:r>
      <w:r w:rsidRPr="004443A9">
        <w:rPr>
          <w:vertAlign w:val="subscript"/>
        </w:rPr>
        <w:t>27</w:t>
      </w:r>
      <w:r w:rsidRPr="004443A9">
        <w:t>–C</w:t>
      </w:r>
      <w:r w:rsidRPr="004443A9">
        <w:rPr>
          <w:vertAlign w:val="subscript"/>
        </w:rPr>
        <w:t>28</w:t>
      </w:r>
      <w:r w:rsidRPr="004443A9">
        <w:t>–C</w:t>
      </w:r>
      <w:r w:rsidRPr="004443A9">
        <w:rPr>
          <w:vertAlign w:val="subscript"/>
        </w:rPr>
        <w:t>29</w:t>
      </w:r>
      <w:r w:rsidRPr="004443A9">
        <w:t xml:space="preserve"> steranes, the (C</w:t>
      </w:r>
      <w:r w:rsidRPr="004443A9">
        <w:rPr>
          <w:vertAlign w:val="subscript"/>
        </w:rPr>
        <w:t>19</w:t>
      </w:r>
      <w:r w:rsidRPr="004443A9">
        <w:t>+C</w:t>
      </w:r>
      <w:r w:rsidRPr="004443A9">
        <w:rPr>
          <w:vertAlign w:val="subscript"/>
        </w:rPr>
        <w:t>20</w:t>
      </w:r>
      <w:r w:rsidRPr="004443A9">
        <w:t>)/C</w:t>
      </w:r>
      <w:r w:rsidRPr="004443A9">
        <w:rPr>
          <w:vertAlign w:val="subscript"/>
        </w:rPr>
        <w:t>23</w:t>
      </w:r>
      <w:r w:rsidRPr="004443A9">
        <w:t xml:space="preserve"> tricyclic terpane (TT), and the Terrigenous/aquatic ratio (TAR). The deposition environment was inferred by the pristane/phytane (Pr/Ph), the Gammacerane index, and the relative quantity of fluorene compounds (Fls), dibenzothiophen compounds (DBTs) and dibenzofuran compounds (DBFs). Result shows that the mainly OM source of the P</w:t>
      </w:r>
      <w:r w:rsidRPr="004443A9">
        <w:rPr>
          <w:vertAlign w:val="subscript"/>
        </w:rPr>
        <w:t>2</w:t>
      </w:r>
      <w:r w:rsidRPr="004443A9">
        <w:rPr>
          <w:i/>
        </w:rPr>
        <w:t>w</w:t>
      </w:r>
      <w:r w:rsidRPr="004443A9">
        <w:t>, P</w:t>
      </w:r>
      <w:r w:rsidRPr="004443A9">
        <w:rPr>
          <w:vertAlign w:val="subscript"/>
        </w:rPr>
        <w:t>1</w:t>
      </w:r>
      <w:r w:rsidRPr="004443A9">
        <w:rPr>
          <w:i/>
        </w:rPr>
        <w:t>f</w:t>
      </w:r>
      <w:r w:rsidRPr="004443A9">
        <w:t>, P</w:t>
      </w:r>
      <w:r w:rsidRPr="004443A9">
        <w:rPr>
          <w:vertAlign w:val="subscript"/>
        </w:rPr>
        <w:t>1</w:t>
      </w:r>
      <w:r w:rsidRPr="004443A9">
        <w:rPr>
          <w:i/>
        </w:rPr>
        <w:t>j</w:t>
      </w:r>
      <w:r w:rsidRPr="004443A9">
        <w:t xml:space="preserve">, and C were the saline lacustrine algal, but some samples </w:t>
      </w:r>
      <w:r w:rsidRPr="004443A9">
        <w:lastRenderedPageBreak/>
        <w:t>of the P</w:t>
      </w:r>
      <w:r w:rsidRPr="004443A9">
        <w:rPr>
          <w:vertAlign w:val="subscript"/>
        </w:rPr>
        <w:t>1</w:t>
      </w:r>
      <w:r w:rsidRPr="004443A9">
        <w:rPr>
          <w:i/>
        </w:rPr>
        <w:t>j</w:t>
      </w:r>
      <w:r w:rsidRPr="004443A9">
        <w:t xml:space="preserve"> were mixed with the higher plants; most samples deposited in the strong reduction environment except the samples came from the P</w:t>
      </w:r>
      <w:r w:rsidRPr="004443A9">
        <w:rPr>
          <w:vertAlign w:val="subscript"/>
        </w:rPr>
        <w:t>2</w:t>
      </w:r>
      <w:r w:rsidRPr="004443A9">
        <w:rPr>
          <w:i/>
        </w:rPr>
        <w:t>w</w:t>
      </w:r>
      <w:r w:rsidRPr="004443A9">
        <w:t xml:space="preserve"> and some samples came from the P</w:t>
      </w:r>
      <w:r w:rsidRPr="004443A9">
        <w:rPr>
          <w:vertAlign w:val="subscript"/>
        </w:rPr>
        <w:t>1</w:t>
      </w:r>
      <w:r w:rsidRPr="004443A9">
        <w:rPr>
          <w:i/>
        </w:rPr>
        <w:t>j</w:t>
      </w:r>
      <w:r w:rsidRPr="004443A9">
        <w:t>. Considering the OMs’ content, type, origination, deposited paleo-environment and TM, the SRs of the P</w:t>
      </w:r>
      <w:r w:rsidRPr="004443A9">
        <w:rPr>
          <w:vertAlign w:val="subscript"/>
        </w:rPr>
        <w:t>1</w:t>
      </w:r>
      <w:r w:rsidRPr="004443A9">
        <w:rPr>
          <w:i/>
        </w:rPr>
        <w:t>f</w:t>
      </w:r>
      <w:r w:rsidRPr="004443A9">
        <w:t xml:space="preserve"> are considered the best sources rocks with the best conditions of the oil and gas generation.</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Feng, G., Zhu, Y., Chen, S., Wang, Y., Ju, W., Hu, Y., You, Z., Wang, G.G.X., </w:t>
      </w:r>
      <w:r w:rsidR="00616347">
        <w:t xml:space="preserve">2020. </w:t>
      </w:r>
      <w:r w:rsidRPr="004443A9">
        <w:t>Supercritical methane adsorption on shale over wide pressure and temperature ranges: Implications for gas-in-place estimation. Energy &amp; Fuels 34, 3121-3134.</w:t>
      </w:r>
    </w:p>
    <w:p w:rsidR="00DB42FE" w:rsidRPr="004443A9" w:rsidRDefault="00DB42FE" w:rsidP="00616347">
      <w:pPr>
        <w:pStyle w:val="EndNoteBibliography"/>
        <w:ind w:left="360"/>
      </w:pPr>
      <w:r w:rsidRPr="004443A9">
        <w:t>https://doi.org/10.1021/acs.energyfuels.9b04498</w:t>
      </w:r>
    </w:p>
    <w:p w:rsidR="00DB42FE" w:rsidRPr="004443A9" w:rsidRDefault="00DB42FE" w:rsidP="00616347">
      <w:pPr>
        <w:pStyle w:val="EndNoteBibliography"/>
        <w:spacing w:after="0"/>
        <w:ind w:left="360"/>
      </w:pPr>
      <w:r w:rsidRPr="004443A9">
        <w:t>Methane adsorption experiments over wide ranges of pressure (up to 30 MPa) and temperature (30–120 °C) were performed using a gravimetric method on the Longmaxi shale collected from the northeast boundary of Sichuan Basin, China. Organic geochemical analyses, shale composition determination, and porosity tests were also conducted. The experimental supercritical methane excess adsorption isotherms at different temperatures initially increase and then decrease with increasing pressure, giving a maximum excess adsorption capacity (</w:t>
      </w:r>
      <w:r w:rsidRPr="004443A9">
        <w:rPr>
          <w:i/>
        </w:rPr>
        <w:t>G</w:t>
      </w:r>
      <w:r w:rsidRPr="004443A9">
        <w:t>exm = 1.86–2.87 cm</w:t>
      </w:r>
      <w:r w:rsidRPr="004443A9">
        <w:rPr>
          <w:vertAlign w:val="superscript"/>
        </w:rPr>
        <w:t>3</w:t>
      </w:r>
      <w:r w:rsidRPr="004443A9">
        <w:t xml:space="preserve">/g) at a certain pressure </w:t>
      </w:r>
      <w:r w:rsidRPr="004443A9">
        <w:rPr>
          <w:i/>
        </w:rPr>
        <w:t>P</w:t>
      </w:r>
      <w:r w:rsidRPr="004443A9">
        <w:rPr>
          <w:vertAlign w:val="subscript"/>
        </w:rPr>
        <w:t>m</w:t>
      </w:r>
      <w:r w:rsidRPr="004443A9">
        <w:t xml:space="preserve"> (6.71–12.90 MPa). The excess adsorption capacity decreases with increasing temperature below 28 MPa, while this effect reversed above 28 MPa. However, the absolute adsorption capacity decreases as the temperature increases over the full pressure range. Supercritical methane adsorption on shale is of temperature dependence because it is a physical exothermic process supported by calculated thermodynamic parameters. </w:t>
      </w:r>
      <w:r w:rsidRPr="004443A9">
        <w:rPr>
          <w:i/>
        </w:rPr>
        <w:t>P</w:t>
      </w:r>
      <w:r w:rsidRPr="004443A9">
        <w:rPr>
          <w:vertAlign w:val="subscript"/>
        </w:rPr>
        <w:t>m</w:t>
      </w:r>
      <w:r w:rsidRPr="004443A9">
        <w:t xml:space="preserve"> is positively correlated with the temperature, while the decline rates (0.021–0.058 cm</w:t>
      </w:r>
      <w:r w:rsidRPr="004443A9">
        <w:rPr>
          <w:vertAlign w:val="superscript"/>
        </w:rPr>
        <w:t>3</w:t>
      </w:r>
      <w:r w:rsidRPr="004443A9">
        <w:t xml:space="preserve"> g</w:t>
      </w:r>
      <w:r w:rsidRPr="004443A9">
        <w:rPr>
          <w:vertAlign w:val="superscript"/>
        </w:rPr>
        <w:t>–1</w:t>
      </w:r>
      <w:r w:rsidRPr="004443A9">
        <w:t xml:space="preserve"> MPa</w:t>
      </w:r>
      <w:r w:rsidRPr="004443A9">
        <w:rPr>
          <w:vertAlign w:val="superscript"/>
        </w:rPr>
        <w:t>–1</w:t>
      </w:r>
      <w:r w:rsidRPr="004443A9">
        <w:t xml:space="preserve">) in excess adsorption negatively correlate with the temperature. Meanwhile, Langmuir volume </w:t>
      </w:r>
      <w:r w:rsidRPr="004443A9">
        <w:rPr>
          <w:i/>
        </w:rPr>
        <w:t>G</w:t>
      </w:r>
      <w:r w:rsidRPr="004443A9">
        <w:rPr>
          <w:vertAlign w:val="subscript"/>
        </w:rPr>
        <w:t>L</w:t>
      </w:r>
      <w:r w:rsidRPr="004443A9">
        <w:t xml:space="preserve"> (3.07–4.04 cm</w:t>
      </w:r>
      <w:r w:rsidRPr="004443A9">
        <w:rPr>
          <w:vertAlign w:val="superscript"/>
        </w:rPr>
        <w:t>3</w:t>
      </w:r>
      <w:r w:rsidRPr="004443A9">
        <w:t xml:space="preserve">/g) decreases while Langmuir pressure </w:t>
      </w:r>
      <w:r w:rsidRPr="004443A9">
        <w:rPr>
          <w:i/>
        </w:rPr>
        <w:t>P</w:t>
      </w:r>
      <w:r w:rsidRPr="004443A9">
        <w:rPr>
          <w:vertAlign w:val="subscript"/>
        </w:rPr>
        <w:t>L</w:t>
      </w:r>
      <w:r w:rsidRPr="004443A9">
        <w:t xml:space="preserve"> (1.44–4.31 MPa) increases with temperature elevation. In comparison to the actual adsorbed gas (absolute adsorption), an underestimation exists in the excess adsorption calculation, which increases with increasing depth. The conventional method, without subtracting the volume occupied by adsorbed gas, overestimates the actual free gas content, especially for the deep shale reservoirs. </w:t>
      </w:r>
      <w:r w:rsidRPr="004443A9">
        <w:rPr>
          <w:i/>
        </w:rPr>
        <w:t>In situ</w:t>
      </w:r>
      <w:r w:rsidRPr="004443A9">
        <w:t xml:space="preserve"> adsorbed gas is simultaneously controlled by the positive effect of the reservoir pressure and the adverse effect of the reservoir temperature. Nevertheless, </w:t>
      </w:r>
      <w:r w:rsidRPr="004443A9">
        <w:rPr>
          <w:i/>
        </w:rPr>
        <w:t>in situ</w:t>
      </w:r>
      <w:r w:rsidRPr="004443A9">
        <w:t xml:space="preserve"> free gas is dominated by the positive effect of the reservoir pressure. Low-temperature overpressure reservoirs are favorable for shale gas enrichment. Geological application of gas-in-place estimation shows that, with increasing depth, the adsorbed gas content increases rapidly and then declines slowly, whereas the free gas content increases continuously. There was an equivalence point at which the contents of adsorbed and free gas are equal, and the equivalence point moved to the deep areas with increasing water saturation. Moreover, the adsorbed gas and free gas distribution are characterized by the dominant depth zones, providing the reference for shale gas exploration and development.</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Feng, Z., Wei, H.-B., Guo, Y., He, X.-Y., Sui, Q., Zhou, Y., Liu, H.-Y., Gou, X.-D., Lv, Y., </w:t>
      </w:r>
      <w:r w:rsidR="00616347">
        <w:t xml:space="preserve">2020. </w:t>
      </w:r>
      <w:r w:rsidRPr="004443A9">
        <w:t>From rainforest to herbland: New insights into land plant responses to the end-Permian mass extinction. Earth-Science Reviews 204, 103153.</w:t>
      </w:r>
    </w:p>
    <w:p w:rsidR="00DB42FE" w:rsidRPr="004443A9" w:rsidRDefault="00DB42FE" w:rsidP="00616347">
      <w:pPr>
        <w:pStyle w:val="EndNoteBibliography"/>
        <w:ind w:left="360"/>
      </w:pPr>
      <w:r w:rsidRPr="004443A9">
        <w:t>http://www.sciencedirect.com/science/article/pii/S001282521930460X</w:t>
      </w:r>
    </w:p>
    <w:p w:rsidR="00DB42FE" w:rsidRPr="004443A9" w:rsidRDefault="00DB42FE" w:rsidP="00616347">
      <w:pPr>
        <w:pStyle w:val="EndNoteBibliography"/>
        <w:spacing w:after="0"/>
        <w:ind w:left="360"/>
      </w:pPr>
      <w:r w:rsidRPr="004443A9">
        <w:t xml:space="preserve">The end-Permian mass extinction is the greatest biotic crisis in Earth history causing the extinction of a large number of marine and terrestrial animals globally. However, how land plants responded to </w:t>
      </w:r>
      <w:r w:rsidRPr="004443A9">
        <w:lastRenderedPageBreak/>
        <w:t xml:space="preserve">the catastrophe remains controversial. The successive plant-bearing beds in China provide a unique window into the great vegetation change through the critical Permian–Triassic time interval. A notable monospecific vegetation comprising a new isoetalean, </w:t>
      </w:r>
      <w:r w:rsidRPr="004443A9">
        <w:rPr>
          <w:i/>
        </w:rPr>
        <w:t>Tomiostrobus sinensis</w:t>
      </w:r>
      <w:r w:rsidRPr="004443A9">
        <w:t xml:space="preserve"> Feng, is documented from the lowermost part of the coastal Kayitou Formation in Southwest China. The new plant is a diminutive, heterosporous lycophyte, which formed ground-covering communities infringing the oligotrophic lakes along coastal regions. The apparent occurrence of </w:t>
      </w:r>
      <w:r w:rsidRPr="004443A9">
        <w:rPr>
          <w:i/>
        </w:rPr>
        <w:t>T. sinensis</w:t>
      </w:r>
      <w:r w:rsidRPr="004443A9">
        <w:t xml:space="preserve"> immediately above the uppermost coal bed demonstrates that the enigmatic gigantopterid-dominated rainforest ecosystem suddenly collapsed and was replaced by the isoetalean-dominated herbaceous vegetation in the tropics of the eastern Tethys. Our study indicates that the magnitude of vegetation response to the end-Permian mass extinction in different palaeophytogeographic regions is probably largely affected by the latitudinal gradients of biodiversity and ecological stress. Because of the complexity of local palaeoenvironmental, palaeoclimatic and palaeotopographic conditions, it is unlikely that a unified global pattern and timing of land plant response to the end-Permian mass extinction can be obtained.</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Feyzullayev, A.A., Lerche, I., </w:t>
      </w:r>
      <w:r w:rsidR="00616347">
        <w:t xml:space="preserve">2020. </w:t>
      </w:r>
      <w:r w:rsidRPr="004443A9">
        <w:t>Temperature-depth control of petroleum occurrence in the sedimentary section of the South Caspian basin. Petroleum Research 5, 70-76.</w:t>
      </w:r>
    </w:p>
    <w:p w:rsidR="00DB42FE" w:rsidRPr="004443A9" w:rsidRDefault="00DB42FE" w:rsidP="00616347">
      <w:pPr>
        <w:pStyle w:val="EndNoteBibliography"/>
        <w:ind w:left="360"/>
      </w:pPr>
      <w:r w:rsidRPr="004443A9">
        <w:t>http://www.sciencedirect.com/science/article/pii/S2096249519300663</w:t>
      </w:r>
    </w:p>
    <w:p w:rsidR="00DB42FE" w:rsidRPr="004443A9" w:rsidRDefault="00DB42FE" w:rsidP="00616347">
      <w:pPr>
        <w:pStyle w:val="EndNoteBibliography"/>
        <w:spacing w:after="0"/>
        <w:ind w:left="360"/>
      </w:pPr>
      <w:r w:rsidRPr="004443A9">
        <w:t>This study analyses the temperature and depth control of well productivity (oil and gas), density of hydrocarbons (HC) and gas/liquid HC ratio (GLR) of petroleum fields in the South Caspian Basin (SCB). The database includes more than 700 field data from 54 onshore and offshore fields, which were processed to provide graphical and statistical analysis using standard computer programs. It was established that the peak of initial production and proven oil reserves falls in the temperature range 50–70 °C. The oils of this interval are characterized by medium (about 890 kg/m</w:t>
      </w:r>
      <w:r w:rsidRPr="004443A9">
        <w:rPr>
          <w:vertAlign w:val="superscript"/>
        </w:rPr>
        <w:t>3</w:t>
      </w:r>
      <w:r w:rsidRPr="004443A9">
        <w:t>) and light (about 806 kg/m</w:t>
      </w:r>
      <w:r w:rsidRPr="004443A9">
        <w:rPr>
          <w:vertAlign w:val="superscript"/>
        </w:rPr>
        <w:t>3</w:t>
      </w:r>
      <w:r w:rsidRPr="004443A9">
        <w:t xml:space="preserve">) density. The maximum condensate and gas production are in the temperature range 100–120 </w:t>
      </w:r>
      <w:r w:rsidRPr="004443A9">
        <w:rPr>
          <w:vertAlign w:val="superscript"/>
        </w:rPr>
        <w:t>o</w:t>
      </w:r>
      <w:r w:rsidRPr="004443A9">
        <w:t>С, associated with the discovery and operation of large gas condensate fields in the deepwater part of the SCB. Liquid HC are represented in this temperature interval by “volatile” oils and condensates with an average density of 777–802 kg/m</w:t>
      </w:r>
      <w:r w:rsidRPr="004443A9">
        <w:rPr>
          <w:vertAlign w:val="superscript"/>
        </w:rPr>
        <w:t>3</w:t>
      </w:r>
      <w:r w:rsidRPr="004443A9">
        <w:t>. Low values of GLR are typical for temperatures below 70 °C, associated both with poor gas conservation conditions and relatively high volumes of oil production. The carbon isotope composition of methane indicates an exclusively catagenetic (thermal) origin at temperatures &gt;50 °C and both catagenetic and mixed (microbiological-catagenetic) at temperatures &lt;50 °C. Based on the results, a forecast is provided for the discovery of new commercial HC accumulations.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Field, D.J., Benito, J., Chen, A., Jagt, J.W.M., Ksepka, D.T., </w:t>
      </w:r>
      <w:r w:rsidR="00616347">
        <w:t xml:space="preserve">2020. </w:t>
      </w:r>
      <w:r w:rsidRPr="004443A9">
        <w:t>Late Cretaceous neornithine from Europe illuminates the origins of crown birds. Nature 579, 397-401.</w:t>
      </w:r>
    </w:p>
    <w:p w:rsidR="00DB42FE" w:rsidRPr="004443A9" w:rsidRDefault="00DB42FE" w:rsidP="00616347">
      <w:pPr>
        <w:pStyle w:val="EndNoteBibliography"/>
        <w:ind w:left="360"/>
      </w:pPr>
      <w:r w:rsidRPr="004443A9">
        <w:t>https://doi.org/10.1038/s41586-020-2096-0</w:t>
      </w:r>
    </w:p>
    <w:p w:rsidR="00DB42FE" w:rsidRPr="004443A9" w:rsidRDefault="00DB42FE" w:rsidP="00616347">
      <w:pPr>
        <w:pStyle w:val="EndNoteBibliography"/>
        <w:spacing w:after="0"/>
        <w:ind w:left="360"/>
      </w:pPr>
      <w:r w:rsidRPr="004443A9">
        <w:t xml:space="preserve">Our understanding of the earliest stages of crown bird evolution is hindered by an exceedingly sparse avian fossil record from the Mesozoic era. The most ancient phylogenetic divergences among crown birds are known to have occurred in the Cretaceous period, but stem-lineage representatives of the deepest subclades of crown birds—Palaeognathae (ostriches and kin), Galloanserae (landfowl and waterfowl) and Neoaves (all other extant birds)—are unknown from the Mesozoic era. As a result, key questions related to the ecology biogeography and divergence times of ancestral crown </w:t>
      </w:r>
      <w:r w:rsidRPr="004443A9">
        <w:lastRenderedPageBreak/>
        <w:t xml:space="preserve">birds remain unanswered. Here we report a new Mesozoic fossil that occupies a position close to the last common ancestor of Galloanserae and fills a key phylogenetic gap in the early evolutionary history of crown birds. </w:t>
      </w:r>
      <w:r w:rsidRPr="004443A9">
        <w:rPr>
          <w:i/>
        </w:rPr>
        <w:t>Asteriornis maastrichtensis</w:t>
      </w:r>
      <w:r w:rsidRPr="004443A9">
        <w:t xml:space="preserve">, gen. et sp. nov., from the Maastrichtian age of Belgium (66.8–66.7 million years ago), is represented by a nearly complete, three-dimensionally preserved skull and associated postcranial elements. The fossil represents one of the only well-supported crown birds from the Mesozoic era and is the first Mesozoic crown bird with well-represented cranial remains. </w:t>
      </w:r>
      <w:r w:rsidRPr="004443A9">
        <w:rPr>
          <w:i/>
        </w:rPr>
        <w:t>Asteriornis maastrichtensis</w:t>
      </w:r>
      <w:r w:rsidRPr="004443A9">
        <w:t xml:space="preserve"> exhibits a previously undocumented combination of galliform (landfowl)-like and anseriform (waterfowl)-like features, and its presence alongside a previously reported </w:t>
      </w:r>
      <w:r w:rsidRPr="004443A9">
        <w:rPr>
          <w:i/>
        </w:rPr>
        <w:t>Ichthyornis</w:t>
      </w:r>
      <w:r w:rsidRPr="004443A9">
        <w:t>-like taxon from the same locality provides direct evidence of the co-occurrence of crown birds and avialan stem birds. Its occurrence in the Northern Hemisphere challenges biogeographical hypotheses of a Gondwanan origin of crown birds, and its relatively small size and possible littoral ecology may corroborate proposed ecological filters that influenced the persistence of crown birds through the end-Cretaceous mass extinction.</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Finlay, R.D., Mahmood, S., Rosenstock, N., Bolou-Bi, E.B., Köhler, S.J., Fahad, Z., Rosling, A., Wallander, H., Belyazid, S., Bishop, K., Lian, B., </w:t>
      </w:r>
      <w:r w:rsidR="00616347">
        <w:t xml:space="preserve">2020. </w:t>
      </w:r>
      <w:r w:rsidRPr="004443A9">
        <w:t>Reviews and syntheses: Biological weathering and its consequences at different spatial levels – from nanoscale to global scale. Biogeosciences 17, 1507-1533.</w:t>
      </w:r>
    </w:p>
    <w:p w:rsidR="00DB42FE" w:rsidRPr="004443A9" w:rsidRDefault="00DB42FE" w:rsidP="00616347">
      <w:pPr>
        <w:pStyle w:val="EndNoteBibliography"/>
        <w:ind w:left="360"/>
      </w:pPr>
      <w:r w:rsidRPr="004443A9">
        <w:t>https://www.biogeosciences.net/17/1507/2020/</w:t>
      </w:r>
    </w:p>
    <w:p w:rsidR="00DB42FE" w:rsidRPr="004443A9" w:rsidRDefault="00DB42FE" w:rsidP="00616347">
      <w:pPr>
        <w:pStyle w:val="EndNoteBibliography"/>
        <w:spacing w:after="0"/>
        <w:ind w:left="360"/>
      </w:pPr>
      <w:r w:rsidRPr="004443A9">
        <w:t xml:space="preserve">Plant nutrients can be recycled through microbial decomposition of organic matter but replacement of base cations and phosphorus, lost through harvesting of biomass/biofuels or leaching, requires de novo supply of fresh nutrients released through weathering of soil parent material (minerals and rocks). Weathering involves physical and chemical processes that are modified by biological activity of plants, microorganisms and animals. This article reviews recent progress made in understanding biological processes contributing to weathering. A perspective of increasing spatial scale is adopted, examining the consequences of biological activity for weathering from nanoscale interactions, through in vitro and in planta microcosm and mesocosm studies, to field experiments, and finally ecosystem and global level effects. The topics discussed include the physical alteration of minerals and mineral surfaces; the composition, amounts, chemical properties, and effects of plant and microbial secretions; and the role of carbon flow (including stabilisation and sequestration of C in organic and inorganic forms). Although the predominant focus is on the effects of fungi in forest ecosystems, the properties of biofilms, including bacterial interactions, are also discussed. The implications of these biological processes for modelling are discussed, and we attempt to identify some key questions and knowledge gaps, as well as experimental approaches and areas of research in which future studies are likely to yield useful results. A particular focus of this article is to improve the representation of the ways in which biological processes complement physical and chemical processes that mobilise mineral elements, making them available for plant uptake. This is necessary to produce better estimates of weathering that are required for sustainable management of forests in a post-fossil-fuel economy. While there are abundant examples of nanometre- and micrometre-scale physical interactions between microorganisms and different minerals, opinion appears to be divided with respect to the quantitative significance of these observations for overall weathering. Numerous in vitro experiments and microcosm studies involving plants and their associated microorganisms suggest that the allocation of plant-derived carbon, mineral dissolution and plant nutrient status are tightly coupled, but there is still disagreement about the extent to which these processes contribute to field-scale observations. Apart from providing dynamically responsive pathways for the allocation of plant-derived carbon to power dissolution of minerals, mycorrhizal </w:t>
      </w:r>
      <w:r w:rsidRPr="004443A9">
        <w:lastRenderedPageBreak/>
        <w:t>mycelia provide conduits for the long-distance transportation of weathering products back to plants that are also quantitatively significant sinks for released nutrients. These mycelial pathways bridge heterogeneous substrates, reducing the influence of local variation in C:N ratios. The production of polysaccharide matrices by biofilms of interacting bacteria and/or fungi at interfaces with mineral surfaces and roots influences patterns of production of antibiotics and quorum sensing molecules, with concomitant effects on microbial community structure, and the qualitative and quantitative composition of mineral-solubilising compounds and weathering products. Patterns of carbon allocation and nutrient mobilisation from both organic and inorganic substrates have been studied at larger spatial and temporal scales, including both ecosystem and global levels, and there is a generally wider degree of acceptance of the “systemic” effects of microorganisms on patterns of nutrient mobilisation. Theories about the evolutionary development of weathering processes have been advanced but there is still a lack of information connecting processes at different spatial scales. Detailed studies of the liquid chemistry of local weathering sites at the micrometre scale, together with upscaling to soil-scale dissolution rates, are advocated, as well as new approaches involving stable isotopes.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Fischer-Gödde, M., Elfers, B.-M., Münker, C., Szilas, K., Maier, W.D., Messling, N., Morishita, T., Van Kranendonk, M., Smithies, H., </w:t>
      </w:r>
      <w:r w:rsidR="00616347">
        <w:t xml:space="preserve">2020. </w:t>
      </w:r>
      <w:r w:rsidRPr="004443A9">
        <w:t>Ruthenium isotope vestige of Earth’s pre-late-veneer mantle preserved in Archaean rocks. Nature 579, 240-244.</w:t>
      </w:r>
    </w:p>
    <w:p w:rsidR="00DB42FE" w:rsidRPr="004443A9" w:rsidRDefault="00DB42FE" w:rsidP="00616347">
      <w:pPr>
        <w:pStyle w:val="EndNoteBibliography"/>
        <w:ind w:left="360"/>
      </w:pPr>
      <w:r w:rsidRPr="004443A9">
        <w:t>https://doi.org/10.1038/s41586-020-2069-3</w:t>
      </w:r>
    </w:p>
    <w:p w:rsidR="00DB42FE" w:rsidRPr="004443A9" w:rsidRDefault="00DB42FE" w:rsidP="00616347">
      <w:pPr>
        <w:pStyle w:val="EndNoteBibliography"/>
        <w:spacing w:after="0"/>
        <w:ind w:left="360"/>
      </w:pPr>
      <w:r w:rsidRPr="004443A9">
        <w:t xml:space="preserve">The accretion of volatile-rich material from the outer Solar System represents a crucial prerequisite for Earth to develop oceans and become a habitable planet. However, the timing of this accretion remains controversial. It has been proposed that volatile elements were added to Earth by the late accretion of a late veneer consisting of carbonaceous-chondrite-like material after core formation had ceased. This view could not be reconciled with the ruthenium (Ru) isotope composition of carbonaceous chondrites, which is distinct from that of the modern mantle, or of any known meteorite group. As a possible solution, Earth’s pre-late-veneer mantle could already have contained a fraction of Ru that was not fully extracted by core formation. The presence of such pre-late-veneer Ru can only be established if its isotope composition is distinct from that of the modern mantle. Here we report the first high-precision, mass-independent Ru isotope compositions for Eoarchaean ultramafic rocks from southwest Greenland, which display a relative </w:t>
      </w:r>
      <w:r w:rsidRPr="004443A9">
        <w:rPr>
          <w:vertAlign w:val="superscript"/>
        </w:rPr>
        <w:t>100</w:t>
      </w:r>
      <w:r w:rsidRPr="004443A9">
        <w:t xml:space="preserve">Ru excess of 22 parts per million compared with the modern mantle value. This </w:t>
      </w:r>
      <w:r w:rsidRPr="004443A9">
        <w:rPr>
          <w:vertAlign w:val="superscript"/>
        </w:rPr>
        <w:t>100</w:t>
      </w:r>
      <w:r w:rsidRPr="004443A9">
        <w:t>Ru excess indicates that the source of the Eoarchaean rocks already contained a substantial fraction of Ru before the accretion of the late veneer. By 3.7 billion years ago, the mantle beneath southwest Greenland had not yet fully equilibrated with late accreted material. Otherwise, no Ru isotopic difference relative to the modern mantle would be observed. If constraints from other highly siderophile elements besides Ru are also considered</w:t>
      </w:r>
      <w:r w:rsidRPr="004443A9">
        <w:rPr>
          <w:u w:val="single"/>
          <w:vertAlign w:val="superscript"/>
        </w:rPr>
        <w:t>14</w:t>
      </w:r>
      <w:r w:rsidRPr="004443A9">
        <w:t xml:space="preserve">, the composition of the modern mantle can only be reconciled if the late veneer contained substantial amounts of carbonaceous-chondrite-like materials with their characteristic </w:t>
      </w:r>
      <w:r w:rsidRPr="004443A9">
        <w:rPr>
          <w:vertAlign w:val="superscript"/>
        </w:rPr>
        <w:t>100</w:t>
      </w:r>
      <w:r w:rsidRPr="004443A9">
        <w:t>Ru deficits. These data therefore relax previous constraints on the late veneer and are consistent with volatile-rich material from the outer Solar System being delivered to Earth during late accretion.</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Flores, N., Hoyos, S., Venegas, M., Galetović, A., Zúñiga, L.M., Fábrega, F., Paredes, B., Salazar-Ardiles, C., Vilo, C., Ascaso, C., Wierzchos, J., Souza-Egipsy, V., Araya, J.E., Batista-García, R.A., Gómez-Silva, B., </w:t>
      </w:r>
      <w:r w:rsidR="00616347">
        <w:t xml:space="preserve">2020. </w:t>
      </w:r>
      <w:r w:rsidRPr="004443A9">
        <w:rPr>
          <w:i/>
        </w:rPr>
        <w:t xml:space="preserve">Haloterrigena </w:t>
      </w:r>
      <w:r w:rsidRPr="004443A9">
        <w:t xml:space="preserve">sp. strain SGH1, a bacterioruberin-rich, perchlorate-tolerant halophilic archaeon </w:t>
      </w:r>
      <w:r w:rsidRPr="004443A9">
        <w:lastRenderedPageBreak/>
        <w:t>isolated from halite microbial communities, Atacama Desert, Chile. Frontiers in Microbiology 11, 324. doi: 10.3389/fmicb.2020.00324.</w:t>
      </w:r>
    </w:p>
    <w:p w:rsidR="00DB42FE" w:rsidRPr="004443A9" w:rsidRDefault="00DB42FE" w:rsidP="00616347">
      <w:pPr>
        <w:pStyle w:val="EndNoteBibliography"/>
        <w:ind w:left="360"/>
      </w:pPr>
      <w:r w:rsidRPr="004443A9">
        <w:t>https://www.frontiersin.org/article/10.3389/fmicb.2020.00324</w:t>
      </w:r>
    </w:p>
    <w:p w:rsidR="00DB42FE" w:rsidRPr="004443A9" w:rsidRDefault="00DB42FE" w:rsidP="00616347">
      <w:pPr>
        <w:pStyle w:val="EndNoteBibliography"/>
        <w:spacing w:after="0"/>
        <w:ind w:left="360"/>
      </w:pPr>
      <w:r w:rsidRPr="004443A9">
        <w:t xml:space="preserve">An extreme halophilic archaeon, strain SGH1, is a novel microorganism isolated from endolithic microbial communities colonizing halites at Salar Grande, Atacama Desert, in northern Chile. Our study provides structural, biochemical, genomic, and physiological information on this new isolate living at the edge of the physical and chemical extremes at the Atacama Desert. SGH1 is a Gram-negative, red-pigmented, non-motile unicellular coccoid organism. Under the transmission electron microscope, strain SGH1 showed an abundant electro-dense material surrounding electron-lucent globular structures resembling gas vacuoles. Strain SGH1 showed a 16S rRNA gene sequence with a close phylogenetic relationship to the extreme halophilic archaea </w:t>
      </w:r>
      <w:r w:rsidRPr="004443A9">
        <w:rPr>
          <w:i/>
        </w:rPr>
        <w:t>Haloterrigena turkmenica</w:t>
      </w:r>
      <w:r w:rsidRPr="004443A9">
        <w:t xml:space="preserve"> and </w:t>
      </w:r>
      <w:r w:rsidRPr="004443A9">
        <w:rPr>
          <w:i/>
        </w:rPr>
        <w:t>Haloterrigena salina</w:t>
      </w:r>
      <w:r w:rsidRPr="004443A9">
        <w:t xml:space="preserve"> and has been denominated </w:t>
      </w:r>
      <w:r w:rsidRPr="004443A9">
        <w:rPr>
          <w:i/>
        </w:rPr>
        <w:t>Haloterrigena</w:t>
      </w:r>
      <w:r w:rsidRPr="004443A9">
        <w:t xml:space="preserve"> sp. strain SGH1. Strain SGH1 grew at 20–40°C (optimum 37°C), at salinities between 15 and 30% (w/v) NaCl (optimum 25%) and growth was improved by addition of 50 mM KCl and 0.5% w/v casamino acids. Growth was severely restricted at salinities below 15% NaCl and cell lysis is avoided at a minimal 10% NaCl. Maximal concentrations of magnesium chloride and sodium or magnesium perchlorates that supported SGH1 growth were 0.5 and 0.15M, respectively. </w:t>
      </w:r>
      <w:r w:rsidRPr="004443A9">
        <w:rPr>
          <w:i/>
        </w:rPr>
        <w:t>Haloterrigena</w:t>
      </w:r>
      <w:r w:rsidRPr="004443A9">
        <w:t xml:space="preserve"> sp. strain SGH1 accumulates bacterioruberin (BR), a C</w:t>
      </w:r>
      <w:r w:rsidRPr="004443A9">
        <w:rPr>
          <w:vertAlign w:val="subscript"/>
        </w:rPr>
        <w:t>50</w:t>
      </w:r>
      <w:r w:rsidRPr="004443A9">
        <w:t xml:space="preserve"> xanthophyll, as the major carotenoid. Total carotenoids in strain SGH1 amounted to nearly 400 μg BR per gram of dry biomass. Nearly 80% of total carotenoids accumulated as geometric isomers of BR: all-</w:t>
      </w:r>
      <w:r w:rsidRPr="004443A9">
        <w:rPr>
          <w:i/>
        </w:rPr>
        <w:t>trans</w:t>
      </w:r>
      <w:r w:rsidRPr="004443A9">
        <w:t>-BR (50%), 5-</w:t>
      </w:r>
      <w:r w:rsidRPr="004443A9">
        <w:rPr>
          <w:i/>
        </w:rPr>
        <w:t>cis</w:t>
      </w:r>
      <w:r w:rsidRPr="004443A9">
        <w:t>-BR (15%), 9-</w:t>
      </w:r>
      <w:r w:rsidRPr="004443A9">
        <w:rPr>
          <w:i/>
        </w:rPr>
        <w:t>cis</w:t>
      </w:r>
      <w:r w:rsidRPr="004443A9">
        <w:t>-BR (10%), 13-</w:t>
      </w:r>
      <w:r w:rsidRPr="004443A9">
        <w:rPr>
          <w:i/>
        </w:rPr>
        <w:t>cis</w:t>
      </w:r>
      <w:r w:rsidRPr="004443A9">
        <w:t>-BR (4%); other carotenoids were dehydrated derivatives of BR. Carotenogenesis in SGH1 was a reversible and salt-dependent process; transferring BR-rich cells grown in 25% (w/v) NaCl to 15% (w/v) NaCl medium resulted in depigmentation, and BR content was recovered after transference and growth of unpigmented cells to high salinity medium. Methanol extracts and purified BR isomers showed an 8–9-fold higher antioxidant activity than Trolox or β-carotene. Both, plasma membrane integrity and mitochondrial membrane potential measurements under acute 18-h assays showed that purified BR isomers were non-toxic to cultured human THP-1 cells.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Foster, L., Boothman, C., Ruiz-Lopez, S., Boshoff, G., Jenkinson, P., Sigee, D., Pittman, J.K., Morris, K., Lloyd, J.R., </w:t>
      </w:r>
      <w:r w:rsidR="00616347">
        <w:t xml:space="preserve">2020. </w:t>
      </w:r>
      <w:r w:rsidRPr="004443A9">
        <w:t>Microbial bloom formation in a high pH spent nuclear fuel pond. Science of The Total Environment 720, 137515.</w:t>
      </w:r>
    </w:p>
    <w:p w:rsidR="00DB42FE" w:rsidRPr="004443A9" w:rsidRDefault="00DB42FE" w:rsidP="00616347">
      <w:pPr>
        <w:pStyle w:val="EndNoteBibliography"/>
        <w:ind w:left="360"/>
      </w:pPr>
      <w:r w:rsidRPr="004443A9">
        <w:t>http://www.sciencedirect.com/science/article/pii/S0048969720310263</w:t>
      </w:r>
    </w:p>
    <w:p w:rsidR="00DB42FE" w:rsidRPr="004443A9" w:rsidRDefault="00DB42FE" w:rsidP="00616347">
      <w:pPr>
        <w:pStyle w:val="EndNoteBibliography"/>
        <w:spacing w:after="0"/>
        <w:ind w:left="360"/>
      </w:pPr>
      <w:r w:rsidRPr="004443A9">
        <w:t xml:space="preserve">Microorganisms are able to colonise a wide range of extreme environments, including nuclear facilities. In this study, the First Generation Magnox Storage Pond (FGMSP) a high pH, legacy spent nuclear fuel pond (SNFP) situated at Sellafield, Cumbria, UK, was studied. Despite the inhospitable conditions in the FGMSP, microorganisms can cause “blooms” within the facility which to date have not been studied. These microbial blooms significantly reduce visibility in the engineered facility, disrupting fuel retrieval operations and slowing decommissioning. The microbial community colonising the pond during two microbial bloom periods was determined by using physiological measurements and high throughput next generation sequencing techniques. In situ probes within the ponds targeting photosynthetic pigments indicated a cyanobacterial bloom event. Analysis of the 16S rRNA gene data suggested that a single cyanobacterial genus was dominant during the bloom events, which was most closely related to </w:t>
      </w:r>
      <w:r w:rsidRPr="004443A9">
        <w:rPr>
          <w:i/>
        </w:rPr>
        <w:t>Pseudanabaena</w:t>
      </w:r>
      <w:r w:rsidRPr="004443A9">
        <w:t xml:space="preserve"> sp. Comparisons between the microbial community of FGMSP and an adjacent SNFP that is periodically purged into the FGMSP, </w:t>
      </w:r>
      <w:r w:rsidRPr="004443A9">
        <w:lastRenderedPageBreak/>
        <w:t xml:space="preserve">showed different community profiles. Data confirm the onset of the microbial blooms occurred when the pond purge rate was reduced, and blooms could be controlled by re-establishing the purging regime. The presence of </w:t>
      </w:r>
      <w:r w:rsidRPr="004443A9">
        <w:rPr>
          <w:i/>
        </w:rPr>
        <w:t>Pseudanabaena</w:t>
      </w:r>
      <w:r w:rsidRPr="004443A9">
        <w:t xml:space="preserve"> sp. that can colonise the pond and dominate during bloom periods is notable since they have received little attention for their role in cyanobacterial bloom formation. This work also informs bioremediation efforts to treat waters contaminated with radionuclides, which could benefit from the use of cyanobacteria able to tolerate extreme environments and accumulate priority radionuclides.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Fox, P.M., Bill, M., Heckman, K., Conrad, M., Anderson, C., Keiluweit, M., Nico, P.S., </w:t>
      </w:r>
      <w:r w:rsidR="00616347">
        <w:t xml:space="preserve">2020. </w:t>
      </w:r>
      <w:r w:rsidRPr="004443A9">
        <w:t>Shale as a source of organic carbon in floodplain sediments of a mountainous watershed. Journal of Geophysical Research: Biogeosciences 125, e2019JG005419.</w:t>
      </w:r>
    </w:p>
    <w:p w:rsidR="00DB42FE" w:rsidRPr="004443A9" w:rsidRDefault="00DB42FE" w:rsidP="00616347">
      <w:pPr>
        <w:pStyle w:val="EndNoteBibliography"/>
        <w:ind w:left="360"/>
      </w:pPr>
      <w:r w:rsidRPr="004443A9">
        <w:t>https://doi.org/10.1029/2019JG005419</w:t>
      </w:r>
    </w:p>
    <w:p w:rsidR="00DB42FE" w:rsidRPr="004443A9" w:rsidRDefault="00DB42FE" w:rsidP="00616347">
      <w:pPr>
        <w:pStyle w:val="EndNoteBibliography"/>
        <w:ind w:left="360"/>
      </w:pPr>
      <w:r w:rsidRPr="004443A9">
        <w:t>Abstract: Shales contain high levels of organic carbon (OC) and represent a large fraction of the Earth's reduced carbon stocks. While recent evidence suggests that shale‐derived OC may be actively cycled in riverine systems, this process is poorly understood and not currently considered in global C models. Through the use of sediment density fractionations, extractions, radiocarbon measurements, and chemical characterization, we provide information on the abundance, chemistry, and mobility of shale‐derived OC in floodplain sediments of a shale‐rich mountainous watershed. The heavy fraction of the sediment, representing mineral‐associated OC, is the largest (84 ± 6% of TOC) and oldest (Δ</w:t>
      </w:r>
      <w:r w:rsidRPr="004443A9">
        <w:rPr>
          <w:vertAlign w:val="superscript"/>
        </w:rPr>
        <w:t>14</w:t>
      </w:r>
      <w:r w:rsidRPr="004443A9">
        <w:t>C values −224 to −853‰) OC pool. Evidence of shale‐derived OC is observed in all sediment C pools (i.e., occluded light fraction, water‐soluble, and pyrophosphate‐extractable) except the free light fraction, which is entirely modern. Relatively consistent chemistry was observed across samples for extracted and density‐separated OC, despite wide ranges of Δ</w:t>
      </w:r>
      <w:r w:rsidRPr="004443A9">
        <w:rPr>
          <w:vertAlign w:val="superscript"/>
        </w:rPr>
        <w:t>14</w:t>
      </w:r>
      <w:r w:rsidRPr="004443A9">
        <w:t>C values. Carbon spectroscopy revealed that floodplain sediments had a higher degree of functionalized aromatic groups and lower carbonate content compared to shale collected nearby, consistent with chemical alteration and mixing with other C sources in the floodplain. We estimate that approximately 23–34% of sediment OC is derived from shale, with implications for other shale‐derived elements (e.g., N). This study demonstrates the important contribution of shale‐OC, particularly in environments with low litter inputs. The large impact of radiocarbon‐dead shale‐OC, which has a thermally altered chemical structure distinct from plant litter, on Δ</w:t>
      </w:r>
      <w:r w:rsidRPr="004443A9">
        <w:rPr>
          <w:vertAlign w:val="superscript"/>
        </w:rPr>
        <w:t>14</w:t>
      </w:r>
      <w:r w:rsidRPr="004443A9">
        <w:t>C values and reactivity of sediment‐OC must be considered.</w:t>
      </w:r>
    </w:p>
    <w:p w:rsidR="00DB42FE" w:rsidRPr="004443A9" w:rsidRDefault="00DB42FE" w:rsidP="00616347">
      <w:pPr>
        <w:pStyle w:val="EndNoteBibliography"/>
        <w:spacing w:after="0"/>
        <w:ind w:left="360"/>
      </w:pPr>
      <w:r w:rsidRPr="004443A9">
        <w:t>Plain Language Summary: Shales contain high levels of organic carbon (OC) and represent a large fraction of the Earth's total carbon stocks. While recent evidence suggests that shale‐derived OC, which is millions of years old, may be actively cycled in riverine systems, this process is poorly understood and not currently considered in global C models. In this study, we analyze sediments collected from the floodplain of the East River, CO, located in a high‐elevation mountainous watershed underlain by shale bedrock, to determine the importance and mobility of shale‐derived OC in this environment. OC closely associated with sediment minerals is the largest (84 ± 6%) and oldest OC pool, containing a large, but variable, amount of shale‐derived OC. Evidence of shale‐derived OC is also observed in other sediment OC pools which are considered to be more mobile and more easily degraded to carbon dioxide by bacteria (e.g., water‐soluble). This study concludes that there are two primary OC sources in floodplain sediments, plant‐litter and shale‐derived OC, each with distinct chemical characteristics and reactivity. We estimate that 23–34% of the sediment OC is derived from shale, demonstrating the important contribution of shale‐OC to the carbon cycle at this site, particularly in environments with low plant‐litter inputs.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Frauscher, M., Agocs, A., Besser, C., Rögner, A., Allmaier, G., Dörr, N., </w:t>
      </w:r>
      <w:r w:rsidR="00616347">
        <w:t xml:space="preserve">2020. </w:t>
      </w:r>
      <w:r w:rsidRPr="004443A9">
        <w:t>Time-resolved quantification of phenolic antioxidants and oxidation products in a model fuel by GC-EI-MS/MS. Energy &amp; Fuels 34, 2674-2682.</w:t>
      </w:r>
    </w:p>
    <w:p w:rsidR="00DB42FE" w:rsidRPr="004443A9" w:rsidRDefault="00DB42FE" w:rsidP="00616347">
      <w:pPr>
        <w:pStyle w:val="EndNoteBibliography"/>
        <w:ind w:left="360"/>
      </w:pPr>
      <w:r w:rsidRPr="004443A9">
        <w:t>https://doi.org/10.1021/acs.energyfuels.9b03483</w:t>
      </w:r>
    </w:p>
    <w:p w:rsidR="00DB42FE" w:rsidRPr="004443A9" w:rsidRDefault="00DB42FE" w:rsidP="00616347">
      <w:pPr>
        <w:pStyle w:val="EndNoteBibliography"/>
        <w:spacing w:after="0"/>
        <w:ind w:left="360"/>
      </w:pPr>
      <w:r w:rsidRPr="004443A9">
        <w:t>Phenol-type components, such as butylated hydroxytoluene (BHT), are used as antioxidants (AOs) to enhance the thermo-oxidative stability of kerosene-type Jet A-1 fuel. Although the antioxidative effect of BHT is well known and often published, there is far less information about the degradation products of BHT in fuels and their impact on stability toward oxidation. In order to monitor a time-resolved depletion of BHT in model kerosene, an artificial alteration method adapted for regular sampling was applied. Subsequently, the molecular structure of degradation products of BHT was identified by gas chromatography with electron impact ionization mass spectrometry (GC-EI-MS). For the quantification of the residual BHT as well as the two representatives of degradation products, namely, 3,5-di-</w:t>
      </w:r>
      <w:r w:rsidRPr="004443A9">
        <w:rPr>
          <w:i/>
        </w:rPr>
        <w:t>tert</w:t>
      </w:r>
      <w:r w:rsidRPr="004443A9">
        <w:t>-butyl-4-hydroxybenzaldehyde (HBA) and 2,6-di-</w:t>
      </w:r>
      <w:r w:rsidRPr="004443A9">
        <w:rPr>
          <w:i/>
        </w:rPr>
        <w:t>tert</w:t>
      </w:r>
      <w:r w:rsidRPr="004443A9">
        <w:t>-butyl-</w:t>
      </w:r>
      <w:r w:rsidRPr="004443A9">
        <w:rPr>
          <w:i/>
        </w:rPr>
        <w:t>p</w:t>
      </w:r>
      <w:r w:rsidRPr="004443A9">
        <w:t>-benzoquinone (BQ), an analytical technique comprising a GC-EI triple quadrupole mass spectrometer run in the MS/MS mode was developed. The limit of detection (LOD) and the limit of quantification (LOQ) for BHT, BQ, and HBA were determined below 1 ppb. The formation of BQ and HBA was observed shortly after the nascent degradation of BHT, while an increase of oxidation products derived from the fuel ascended remarkably after a full depletion of both the initial AO BHT and the monitored oxidation products BQ and HBA. As the evolution of BQ and HBA followed a characteristic trend, these compounds can be used as markers to reliably predict the residual time until a total consumption or a predefined threshold of BHT is reached. This way, the quality management of in-service or stored kerosene-type fuels is enhanced.</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Fritzsch, R., Hume, S., Minnes, L., Baker, M.J., Burley, G.A., Hunt, N.T., </w:t>
      </w:r>
      <w:r w:rsidR="00616347">
        <w:t xml:space="preserve">2020. </w:t>
      </w:r>
      <w:r w:rsidRPr="004443A9">
        <w:t>Two-dimensional infrared spectroscopy: an emerging analytical tool? Analyst 145, 2014-2024.</w:t>
      </w:r>
    </w:p>
    <w:p w:rsidR="00DB42FE" w:rsidRPr="004443A9" w:rsidRDefault="00DB42FE" w:rsidP="00616347">
      <w:pPr>
        <w:pStyle w:val="EndNoteBibliography"/>
        <w:ind w:left="360"/>
      </w:pPr>
      <w:r w:rsidRPr="004443A9">
        <w:t>http://dx.doi.org/10.1039/C9AN02035G</w:t>
      </w:r>
    </w:p>
    <w:p w:rsidR="00DB42FE" w:rsidRPr="004443A9" w:rsidRDefault="00DB42FE" w:rsidP="00616347">
      <w:pPr>
        <w:pStyle w:val="EndNoteBibliography"/>
        <w:spacing w:after="0"/>
        <w:ind w:left="360"/>
      </w:pPr>
      <w:r w:rsidRPr="004443A9">
        <w:t>Ultrafast two-dimensional infrared (2D-IR) spectroscopy has provided valuable insights into biomolecular structure and dynamics, but recent progress in laser technology and data analysis methods have demonstrated the potential for high throughput 2D-IR measurements and analytical applications. Using 2D-IR as an analytical tool requires a different approach to data collection and analysis compared to pure research applications however and, in this review, we highlight progress towards usage of 2D-IR spectroscopy in areas relevant to biomedical, pharmaceutical and analytical molecular science. We summarise the technical and methodological advances made to date and discuss the challenges that still face 2D-IR spectroscopy as it attempts to transition from the state-of-the-art laser laboratory to the standard suite of analytical tools.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Fu, J., Chen, C., Li, M., Zhang, Z., Long, Z., Wang, T., Lu, X., </w:t>
      </w:r>
      <w:r w:rsidR="00616347">
        <w:t xml:space="preserve">2020. </w:t>
      </w:r>
      <w:r w:rsidRPr="004443A9">
        <w:t>Petroleum charging history of Neogene reservoir in the Baiyun Sag, Pearl River Mouth Basin, South China sea. Journal of Petroleum Science and Engineering 190, 106945.</w:t>
      </w:r>
    </w:p>
    <w:p w:rsidR="00DB42FE" w:rsidRPr="004443A9" w:rsidRDefault="00DB42FE" w:rsidP="00616347">
      <w:pPr>
        <w:pStyle w:val="EndNoteBibliography"/>
        <w:ind w:left="360"/>
      </w:pPr>
      <w:r w:rsidRPr="004443A9">
        <w:t>http://www.sciencedirect.com/science/article/pii/S0920410520300437</w:t>
      </w:r>
    </w:p>
    <w:p w:rsidR="00DB42FE" w:rsidRPr="004443A9" w:rsidRDefault="00DB42FE" w:rsidP="00616347">
      <w:pPr>
        <w:pStyle w:val="EndNoteBibliography"/>
        <w:spacing w:after="0"/>
        <w:ind w:left="360"/>
      </w:pPr>
      <w:r w:rsidRPr="004443A9">
        <w:lastRenderedPageBreak/>
        <w:t>Recent years, numerous condensate and oil pools are found in the northern and eastern parts of Baiyun Sag in the Pearl River Mouth Basin (PRMB) South China Sea. However, their origin and filling history have not been determined yet. Firstly, this study investigated the oils’ geochemical characteristics and determine the origin of the oils in different regions of the Baiyun Sag. Oil-oil correlation demonstrates that oils in the Panyu Low Uplift (PLU) and the Eastern Structural Belts (ESB) of the sag belong to two different oil groups. The condensates in the PLU were generated by the coal bearing source bed of the Eocene Enping (E</w:t>
      </w:r>
      <w:r w:rsidRPr="004443A9">
        <w:rPr>
          <w:vertAlign w:val="subscript"/>
        </w:rPr>
        <w:t>2</w:t>
      </w:r>
      <w:r w:rsidRPr="004443A9">
        <w:rPr>
          <w:i/>
        </w:rPr>
        <w:t>e</w:t>
      </w:r>
      <w:r w:rsidRPr="004443A9">
        <w:t>) Formation in the Main Sub-sag (MSS), while ESB oils originated from the shallow lacustrine/deltaic source rocks in the E</w:t>
      </w:r>
      <w:r w:rsidRPr="004443A9">
        <w:rPr>
          <w:vertAlign w:val="subscript"/>
        </w:rPr>
        <w:t>2</w:t>
      </w:r>
      <w:r w:rsidRPr="004443A9">
        <w:rPr>
          <w:i/>
        </w:rPr>
        <w:t>e</w:t>
      </w:r>
      <w:r w:rsidRPr="004443A9">
        <w:t xml:space="preserve"> Formation. Secondly, based on fluid inclusion analysis and 1-D basin simulation, oil filling history of two wells from PLU and ESB were clarified, respectively. One episode of oil charging occurred between 6 Ma and 0 Ma in the Neogene Zhujiang Formation (N</w:t>
      </w:r>
      <w:r w:rsidRPr="004443A9">
        <w:rPr>
          <w:vertAlign w:val="subscript"/>
        </w:rPr>
        <w:t>1</w:t>
      </w:r>
      <w:r w:rsidRPr="004443A9">
        <w:rPr>
          <w:i/>
        </w:rPr>
        <w:t>zh</w:t>
      </w:r>
      <w:r w:rsidRPr="004443A9">
        <w:t>) of Well P30 in the PLU. The charging of the condensate in the N</w:t>
      </w:r>
      <w:r w:rsidRPr="004443A9">
        <w:rPr>
          <w:vertAlign w:val="subscript"/>
        </w:rPr>
        <w:t>1</w:t>
      </w:r>
      <w:r w:rsidRPr="004443A9">
        <w:rPr>
          <w:i/>
        </w:rPr>
        <w:t>zh</w:t>
      </w:r>
      <w:r w:rsidRPr="004443A9">
        <w:t xml:space="preserve"> reservoirs at Well H34 mainly occurred during 6.5 Ma and 4 Ma, which is 5Ma-10 Ma later than that of the light oil in the ESB. However, according to the simulation of the hydrocarbon generation history, both light oils and condensates in the ESB were generated during the mature stage of the source rocks at about 20 Ma to 8 Ma. Thus, the difference between the charging times in the ESB implies that a special accumulation mechanism may occur in the ESB. Moreover, charging of condensates in the PLU and ESB occurred at late Miocene to Pliocene, which has a good correlation with the Dongsha Event. This characteristics provides an evidence for that Dongsha Event may play a critical role in the formation of effective migration conduit in the Baiyun Sag.</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Fu, W., Qi, Y., Liu, Y., Wang, X., Druffel, E.M., Xu, X., Ren, P., Sun, S., Fan, D., </w:t>
      </w:r>
      <w:r w:rsidR="00616347">
        <w:t xml:space="preserve">2020. </w:t>
      </w:r>
      <w:r w:rsidRPr="004443A9">
        <w:t>Production of ancient dissolved organic carbon in Arctic Ocean sediment: A pathway of carbon cycling in the extreme environment. Geophysical Research Letters 47, e2020GL087119.</w:t>
      </w:r>
    </w:p>
    <w:p w:rsidR="00DB42FE" w:rsidRPr="004443A9" w:rsidRDefault="00DB42FE" w:rsidP="00616347">
      <w:pPr>
        <w:pStyle w:val="EndNoteBibliography"/>
        <w:ind w:left="360"/>
      </w:pPr>
      <w:r w:rsidRPr="004443A9">
        <w:t>https://doi.org/10.1029/2020GL087119</w:t>
      </w:r>
    </w:p>
    <w:p w:rsidR="00DB42FE" w:rsidRPr="004443A9" w:rsidRDefault="00DB42FE" w:rsidP="00616347">
      <w:pPr>
        <w:pStyle w:val="EndNoteBibliography"/>
        <w:ind w:left="360"/>
      </w:pPr>
      <w:r w:rsidRPr="004443A9">
        <w:t>Abstract: We report quantitative carbon isotope evidence showing that porewater dissolved organic carbon (DOC) is produced from different sources in Arctic Ocean sediments, resulting in dramatic changes in both δ</w:t>
      </w:r>
      <w:r w:rsidRPr="004443A9">
        <w:rPr>
          <w:vertAlign w:val="superscript"/>
        </w:rPr>
        <w:t>13</w:t>
      </w:r>
      <w:r w:rsidRPr="004443A9">
        <w:t>C and Δ</w:t>
      </w:r>
      <w:r w:rsidRPr="004443A9">
        <w:rPr>
          <w:vertAlign w:val="superscript"/>
        </w:rPr>
        <w:t>14</w:t>
      </w:r>
      <w:r w:rsidRPr="004443A9">
        <w:t>C values of DOC. The very low δ</w:t>
      </w:r>
      <w:r w:rsidRPr="004443A9">
        <w:rPr>
          <w:vertAlign w:val="superscript"/>
        </w:rPr>
        <w:t>13</w:t>
      </w:r>
      <w:r w:rsidRPr="004443A9">
        <w:t>C (−42.7‰) and Δ</w:t>
      </w:r>
      <w:r w:rsidRPr="004443A9">
        <w:rPr>
          <w:vertAlign w:val="superscript"/>
        </w:rPr>
        <w:t>14</w:t>
      </w:r>
      <w:r w:rsidRPr="004443A9">
        <w:t>C (−947‰) values measured for porewater DOC indicate that bacteria consume methane hydrate‐derived OC and convert a significant fraction of this δ</w:t>
      </w:r>
      <w:r w:rsidRPr="004443A9">
        <w:rPr>
          <w:vertAlign w:val="superscript"/>
        </w:rPr>
        <w:t>13</w:t>
      </w:r>
      <w:r w:rsidRPr="004443A9">
        <w:t>C depleted and old OC (44–97%) into DOC in the sediments of the Arctic Ocean. We suggest that the production of extremely old, methane‐derived porewater DOC (5,430–23,600 years) in Arctic Ocean sediment is an important pathway for carbon cycling that provides not only a necessary energy source for microbial communities in this extreme environment but also an ancient DOC source that could flux and contribute to the old and biologically recalcitrant DOC found in the deep ocean.</w:t>
      </w:r>
    </w:p>
    <w:p w:rsidR="00DB42FE" w:rsidRPr="004443A9" w:rsidRDefault="00DB42FE" w:rsidP="00616347">
      <w:pPr>
        <w:pStyle w:val="EndNoteBibliography"/>
        <w:spacing w:after="0"/>
        <w:ind w:left="360"/>
      </w:pPr>
      <w:r w:rsidRPr="004443A9">
        <w:t>Plain Language Summary: Dissolved organic carbon (DOC) produced in sediment porewater is a crucial intermediary during the early diagenesis of organic matter in marine sediments, and DOC production is also an important pathway of carbon cycling in the ocean. In this study, we present radiocarbon and stable carbon isotope results measured for porewater DOC and sedimentary solid phase total organic carbon in sediment cores collected from the Arctic Ocean. We find that the carbon isotopic signatures of porewater DOC differed dramatically between samples produced from mostly marine‐derived organic matter (δ</w:t>
      </w:r>
      <w:r w:rsidRPr="004443A9">
        <w:rPr>
          <w:vertAlign w:val="superscript"/>
        </w:rPr>
        <w:t>13</w:t>
      </w:r>
      <w:r w:rsidRPr="004443A9">
        <w:t>C = −22.9‰, Δ</w:t>
      </w:r>
      <w:r w:rsidRPr="004443A9">
        <w:rPr>
          <w:vertAlign w:val="superscript"/>
        </w:rPr>
        <w:t>14</w:t>
      </w:r>
      <w:r w:rsidRPr="004443A9">
        <w:t>C = −80‰) in the Chukchi Sea shelf and samples produced from methane hydrate‐derived organic matter (δ</w:t>
      </w:r>
      <w:r w:rsidRPr="004443A9">
        <w:rPr>
          <w:vertAlign w:val="superscript"/>
        </w:rPr>
        <w:t>13</w:t>
      </w:r>
      <w:r w:rsidRPr="004443A9">
        <w:t>C = −42.7‰, Δ</w:t>
      </w:r>
      <w:r w:rsidRPr="004443A9">
        <w:rPr>
          <w:vertAlign w:val="superscript"/>
        </w:rPr>
        <w:t>14</w:t>
      </w:r>
      <w:r w:rsidRPr="004443A9">
        <w:t xml:space="preserve">C = −947‰) on the Arctic slope. We estimate that in the slope region, 44–97% of the extremely old DOC preserved in the sediment was produced from methane hydrate. The production of this ancient, methane‐bearing porewater DOC could be an important but insufficiently studied pathway for carbon cycling </w:t>
      </w:r>
      <w:r w:rsidRPr="004443A9">
        <w:lastRenderedPageBreak/>
        <w:t>that provides not only a necessary energy source for microbial communities in the Arctic sediment but also an ancient DOC source that could contribute to the old and biologically recalcitrant DOC found in the deep ocean.</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Gagliano, A.L., Calabrese, S., Daskalopoulou, K., Kyriakopoulos, K., Tagliavia, M., D'Alessandro, W., </w:t>
      </w:r>
      <w:r w:rsidR="00616347">
        <w:t xml:space="preserve">2020. </w:t>
      </w:r>
      <w:r w:rsidRPr="004443A9">
        <w:t>Methanotrophy in geothermal soils, an overlooked process: The example of Nisyros island (Greece). Chemical Geology 539, 119546.</w:t>
      </w:r>
    </w:p>
    <w:p w:rsidR="00DB42FE" w:rsidRPr="004443A9" w:rsidRDefault="00DB42FE" w:rsidP="00616347">
      <w:pPr>
        <w:pStyle w:val="EndNoteBibliography"/>
        <w:ind w:left="360"/>
      </w:pPr>
      <w:r w:rsidRPr="004443A9">
        <w:t>http://www.sciencedirect.com/science/article/pii/S0009254120300851</w:t>
      </w:r>
    </w:p>
    <w:p w:rsidR="00DB42FE" w:rsidRPr="004443A9" w:rsidRDefault="00DB42FE" w:rsidP="00616347">
      <w:pPr>
        <w:pStyle w:val="EndNoteBibliography"/>
        <w:spacing w:after="0"/>
        <w:ind w:left="360"/>
      </w:pPr>
      <w:r w:rsidRPr="004443A9">
        <w:t>A multidisciplinary field campaign was carried out at Nisyros Island (Greece). Hydrothermal gases were sampled and analysed, and CH</w:t>
      </w:r>
      <w:r w:rsidRPr="004443A9">
        <w:rPr>
          <w:vertAlign w:val="subscript"/>
        </w:rPr>
        <w:t>4</w:t>
      </w:r>
      <w:r w:rsidRPr="004443A9">
        <w:t xml:space="preserve"> and CO</w:t>
      </w:r>
      <w:r w:rsidRPr="004443A9">
        <w:rPr>
          <w:vertAlign w:val="subscript"/>
        </w:rPr>
        <w:t>2</w:t>
      </w:r>
      <w:r w:rsidRPr="004443A9">
        <w:t xml:space="preserve"> fluxes from the soils were measured with the accumulation chamber method. The sampling area (Lakki plain) covers an area of about 0.08 km</w:t>
      </w:r>
      <w:r w:rsidRPr="004443A9">
        <w:rPr>
          <w:vertAlign w:val="superscript"/>
        </w:rPr>
        <w:t>2</w:t>
      </w:r>
      <w:r w:rsidRPr="004443A9">
        <w:t>, and includes the main fumarolic areas of Kaminakia, Stefanos, Ramos, Lofos and Phlegeton. Flux values measured at 130 sites range from −3.4 to 1420 mg m</w:t>
      </w:r>
      <w:r w:rsidRPr="004443A9">
        <w:rPr>
          <w:vertAlign w:val="superscript"/>
        </w:rPr>
        <w:t>−2</w:t>
      </w:r>
      <w:r w:rsidRPr="004443A9">
        <w:t xml:space="preserve"> d</w:t>
      </w:r>
      <w:r w:rsidRPr="004443A9">
        <w:rPr>
          <w:vertAlign w:val="superscript"/>
        </w:rPr>
        <w:t>−1</w:t>
      </w:r>
      <w:r w:rsidRPr="004443A9">
        <w:t xml:space="preserve"> for CH</w:t>
      </w:r>
      <w:r w:rsidRPr="004443A9">
        <w:rPr>
          <w:vertAlign w:val="subscript"/>
        </w:rPr>
        <w:t>4</w:t>
      </w:r>
      <w:r w:rsidRPr="004443A9">
        <w:t xml:space="preserve"> and from 0.1 to 383 g m</w:t>
      </w:r>
      <w:r w:rsidRPr="004443A9">
        <w:rPr>
          <w:vertAlign w:val="superscript"/>
        </w:rPr>
        <w:t>−2</w:t>
      </w:r>
      <w:r w:rsidRPr="004443A9">
        <w:t xml:space="preserve"> d</w:t>
      </w:r>
      <w:r w:rsidRPr="004443A9">
        <w:rPr>
          <w:vertAlign w:val="superscript"/>
        </w:rPr>
        <w:t>−1</w:t>
      </w:r>
      <w:r w:rsidRPr="004443A9">
        <w:t xml:space="preserve"> for CO</w:t>
      </w:r>
      <w:r w:rsidRPr="004443A9">
        <w:rPr>
          <w:vertAlign w:val="subscript"/>
        </w:rPr>
        <w:t>2</w:t>
      </w:r>
      <w:r w:rsidRPr="004443A9">
        <w:t>. The fumarolic areas show very different CH</w:t>
      </w:r>
      <w:r w:rsidRPr="004443A9">
        <w:rPr>
          <w:vertAlign w:val="subscript"/>
        </w:rPr>
        <w:t>4</w:t>
      </w:r>
      <w:r w:rsidRPr="004443A9">
        <w:t xml:space="preserve"> degassing patterns, Kaminakia showing the highest CH</w:t>
      </w:r>
      <w:r w:rsidRPr="004443A9">
        <w:rPr>
          <w:vertAlign w:val="subscript"/>
        </w:rPr>
        <w:t>4</w:t>
      </w:r>
      <w:r w:rsidRPr="004443A9">
        <w:t xml:space="preserve"> output values (about 0.8 t a</w:t>
      </w:r>
      <w:r w:rsidRPr="004443A9">
        <w:rPr>
          <w:vertAlign w:val="superscript"/>
        </w:rPr>
        <w:t>−1</w:t>
      </w:r>
      <w:r w:rsidRPr="004443A9">
        <w:t xml:space="preserve"> from an area of about 30,000 m</w:t>
      </w:r>
      <w:r w:rsidRPr="004443A9">
        <w:rPr>
          <w:vertAlign w:val="superscript"/>
        </w:rPr>
        <w:t>2</w:t>
      </w:r>
      <w:r w:rsidRPr="004443A9">
        <w:t>) and Phlegeton the lowest (about 0.01 t a</w:t>
      </w:r>
      <w:r w:rsidRPr="004443A9">
        <w:rPr>
          <w:vertAlign w:val="superscript"/>
        </w:rPr>
        <w:t>−1</w:t>
      </w:r>
      <w:r w:rsidRPr="004443A9">
        <w:t xml:space="preserve"> from an area of about 2500 m</w:t>
      </w:r>
      <w:r w:rsidRPr="004443A9">
        <w:rPr>
          <w:vertAlign w:val="superscript"/>
        </w:rPr>
        <w:t>2</w:t>
      </w:r>
      <w:r w:rsidRPr="004443A9">
        <w:t>). The total output from the entire geothermal system of Nisyros should not exceed 2 t a</w:t>
      </w:r>
      <w:r w:rsidRPr="004443A9">
        <w:rPr>
          <w:vertAlign w:val="superscript"/>
        </w:rPr>
        <w:t>−1</w:t>
      </w:r>
      <w:r w:rsidRPr="004443A9">
        <w:t>. Previous indirect estimates of the CH</w:t>
      </w:r>
      <w:r w:rsidRPr="004443A9">
        <w:rPr>
          <w:vertAlign w:val="subscript"/>
        </w:rPr>
        <w:t>4</w:t>
      </w:r>
      <w:r w:rsidRPr="004443A9">
        <w:t xml:space="preserve"> output at Nisyros, based on soil CO</w:t>
      </w:r>
      <w:r w:rsidRPr="004443A9">
        <w:rPr>
          <w:vertAlign w:val="subscript"/>
        </w:rPr>
        <w:t>2</w:t>
      </w:r>
      <w:r w:rsidRPr="004443A9">
        <w:t xml:space="preserve"> output and CH</w:t>
      </w:r>
      <w:r w:rsidRPr="004443A9">
        <w:rPr>
          <w:vertAlign w:val="subscript"/>
        </w:rPr>
        <w:t>4</w:t>
      </w:r>
      <w:r w:rsidRPr="004443A9">
        <w:t>/CO</w:t>
      </w:r>
      <w:r w:rsidRPr="004443A9">
        <w:rPr>
          <w:vertAlign w:val="subscript"/>
        </w:rPr>
        <w:t>2</w:t>
      </w:r>
      <w:r w:rsidRPr="004443A9">
        <w:t xml:space="preserve"> ratios in fumarolic gases, were more than one order of magnitude higher. The present work further underscores the utmost importance of direct CH</w:t>
      </w:r>
      <w:r w:rsidRPr="004443A9">
        <w:rPr>
          <w:vertAlign w:val="subscript"/>
        </w:rPr>
        <w:t>4</w:t>
      </w:r>
      <w:r w:rsidRPr="004443A9">
        <w:t xml:space="preserve"> flux data because indirect methods totally disregard methanotrophic activity within the soil. Ten soil samples were collected for CH</w:t>
      </w:r>
      <w:r w:rsidRPr="004443A9">
        <w:rPr>
          <w:vertAlign w:val="subscript"/>
        </w:rPr>
        <w:t>4</w:t>
      </w:r>
      <w:r w:rsidRPr="004443A9">
        <w:t xml:space="preserve"> consumption experiments and for metagenomic analysis. Seven of the soil samples showed small but significant CH</w:t>
      </w:r>
      <w:r w:rsidRPr="004443A9">
        <w:rPr>
          <w:vertAlign w:val="subscript"/>
        </w:rPr>
        <w:t>4</w:t>
      </w:r>
      <w:r w:rsidRPr="004443A9">
        <w:t xml:space="preserve"> consumption (up to 39.7 ng g</w:t>
      </w:r>
      <w:r w:rsidRPr="004443A9">
        <w:rPr>
          <w:vertAlign w:val="superscript"/>
        </w:rPr>
        <w:t>−1</w:t>
      </w:r>
      <w:r w:rsidRPr="004443A9">
        <w:t xml:space="preserve"> h</w:t>
      </w:r>
      <w:r w:rsidRPr="004443A9">
        <w:rPr>
          <w:vertAlign w:val="superscript"/>
        </w:rPr>
        <w:t>−1</w:t>
      </w:r>
      <w:r w:rsidRPr="004443A9">
        <w:t>) and were positive for the methanotrophs-specific gene (</w:t>
      </w:r>
      <w:r w:rsidRPr="004443A9">
        <w:rPr>
          <w:i/>
        </w:rPr>
        <w:t>pmoA</w:t>
      </w:r>
      <w:r w:rsidRPr="004443A9">
        <w:t>) confirming microbial CH</w:t>
      </w:r>
      <w:r w:rsidRPr="004443A9">
        <w:rPr>
          <w:vertAlign w:val="subscript"/>
        </w:rPr>
        <w:t>4</w:t>
      </w:r>
      <w:r w:rsidRPr="004443A9">
        <w:t xml:space="preserve"> oxidation in the soil, notwithstanding the harsh environmental conditions (high temperature and H</w:t>
      </w:r>
      <w:r w:rsidRPr="004443A9">
        <w:rPr>
          <w:vertAlign w:val="subscript"/>
        </w:rPr>
        <w:t>2</w:t>
      </w:r>
      <w:r w:rsidRPr="004443A9">
        <w:t>S concentrations and low pH).</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Gan, S., Schmidt, F., Heuer, V.B., Goldhammer, T., Witt, M., Hinrichs, K.-U., </w:t>
      </w:r>
      <w:r w:rsidR="00616347">
        <w:t xml:space="preserve">2020. </w:t>
      </w:r>
      <w:r w:rsidRPr="004443A9">
        <w:t>Impacts of redox conditions on dissolved organic matter (DOM) quality in marine sediments off the River Rhône, Western Mediterranean Sea. Geochimica et Cosmochimica Acta 276, 151-169.</w:t>
      </w:r>
    </w:p>
    <w:p w:rsidR="00DB42FE" w:rsidRPr="004443A9" w:rsidRDefault="00DB42FE" w:rsidP="00616347">
      <w:pPr>
        <w:pStyle w:val="EndNoteBibliography"/>
        <w:ind w:left="360"/>
      </w:pPr>
      <w:r w:rsidRPr="004443A9">
        <w:t>http://www.sciencedirect.com/science/article/pii/S0016703720301009</w:t>
      </w:r>
    </w:p>
    <w:p w:rsidR="00DB42FE" w:rsidRPr="004443A9" w:rsidRDefault="00DB42FE" w:rsidP="00616347">
      <w:pPr>
        <w:pStyle w:val="EndNoteBibliography"/>
        <w:spacing w:after="0"/>
        <w:ind w:left="360"/>
      </w:pPr>
      <w:r w:rsidRPr="004443A9">
        <w:t xml:space="preserve">Sedimentary dissolved organic matter (DOM) is an important pool of intermediates produced and consumed during early diagenesis of organic matter in the anoxic subseafloor. Rapid degradation of organic matter in the coastal sediment results in stratification of redox zones. However, to date little is known about the selectivity with respect to organic matter of the initial microbially mediated anaerobic degradation processes under contrasting redox conditions and how these affect the composition of DOM. In order to study the effect of sulfate reducing </w:t>
      </w:r>
      <w:r w:rsidRPr="004443A9">
        <w:rPr>
          <w:i/>
        </w:rPr>
        <w:t>vs.</w:t>
      </w:r>
      <w:r w:rsidRPr="004443A9">
        <w:t xml:space="preserve"> methanogenic conditions on DOM quality and degradation, sediments (0–18 cm) from the Rhône River Delta were incubated, with redox conditions being controlled by sulfate amendment. The progress of incubation was monitored by H</w:t>
      </w:r>
      <w:r w:rsidRPr="004443A9">
        <w:rPr>
          <w:vertAlign w:val="subscript"/>
        </w:rPr>
        <w:t>2</w:t>
      </w:r>
      <w:r w:rsidRPr="004443A9">
        <w:t>, CH</w:t>
      </w:r>
      <w:r w:rsidRPr="004443A9">
        <w:rPr>
          <w:vertAlign w:val="subscript"/>
        </w:rPr>
        <w:t>4</w:t>
      </w:r>
      <w:r w:rsidRPr="004443A9">
        <w:t xml:space="preserve">, sulfate, DIC, DOC and acetate production. DOM composition was determined by 3D Fluorescence Spectroscopy, i.e., Excitation Emission Matrix Spectroscopy (EEMs), and ultra-high-resolution Fourier Transform Ion Cyclotron Resonance Mass Spectrometry (FT-ICR-MS). Parallel factor analysis (PARAFAC) of EEMs was used to distinguish different groups of DOM (humic-like and protein-like compounds) to evaluate composition, conjugation and size of DOM. Prior to incubation, </w:t>
      </w:r>
      <w:r w:rsidRPr="004443A9">
        <w:lastRenderedPageBreak/>
        <w:t>humic-like sedimentary DOM predominated; nearly half of the molecular formulae (&gt;5000) identified by FT-ICR-MS were CHO and one third were CHNO compounds. During incubation, protein-like DOM and CHNO formulae with 3 and 4 N atoms formulae were rare under both sulfate reducing and methanogenic conditions. Incubation under sulfate reducing conditions resulted in rapid release and net accumulation of dissolved organic carbon (DOC). Protein-like DOM was rapidly cycled and humic-like DOM accumulated. Consistently, CHNO formulae with 3 and 4 N atoms decreased faster, whereas formulae with one N and oxygen-rich unsaturated compounds became more concentrated. In contrast, during incubation under methanogenic conditions, there was no net accumulation of DOC; blue-shift of humic-like peaks suggest the transformation possibly associated with loss of oxygen-bearing functional groups in conjugated structures of humic substances. This interpretation is consistent with the relative decrease of oxygenation and carbon number in the pool of aromatic and highly unsaturated compounds observed by FT-ICR-MS analysis. Approximately 90% of molecular formulae that were lost under methanogenic conditions were accumulated under sulfate reducing conditions. Our results suggest that under sulfate reducing conditions degradation of organic matter results in the accumulation of highly oxidized DOM, while protein-like compounds are selectively consumed. When the redox regime changes to methanogenic conditions, microbes apparently utilize the humic-like and oxygen-rich compounds of the oxidized DOM pool that accumulated under sulfate reducing conditions. Consequently, redox regimes and the associated biogeochemical processes influence rate and fractions of DOM released by and consumed in the deep biosphere, which could ultimately shape the composition of the preserved sedimentary organic matter and the DOM released to the ocean.</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Gangidine, A., Havig, J.R., Fike, D.A., Jones, C., Hamilton, T.L., Czaja, A.D., </w:t>
      </w:r>
      <w:r w:rsidR="00616347">
        <w:t xml:space="preserve">2020. </w:t>
      </w:r>
      <w:r w:rsidRPr="004443A9">
        <w:t>Trace element concentrations in hydrothermal silica deposits as a potential biosignature. Astrobiology 20, 525-536.</w:t>
      </w:r>
    </w:p>
    <w:p w:rsidR="00DB42FE" w:rsidRPr="004443A9" w:rsidRDefault="00DB42FE" w:rsidP="00616347">
      <w:pPr>
        <w:pStyle w:val="EndNoteBibliography"/>
        <w:ind w:left="360"/>
      </w:pPr>
      <w:r w:rsidRPr="004443A9">
        <w:t>https://doi.org/10.1089/ast.2018.1994</w:t>
      </w:r>
    </w:p>
    <w:p w:rsidR="00DB42FE" w:rsidRPr="004443A9" w:rsidRDefault="00DB42FE" w:rsidP="00616347">
      <w:pPr>
        <w:pStyle w:val="EndNoteBibliography"/>
        <w:spacing w:after="0"/>
        <w:ind w:left="360"/>
      </w:pPr>
      <w:r w:rsidRPr="004443A9">
        <w:t xml:space="preserve">Uncovering and understanding the chemical and fossil record of ancient life is crucial to understanding how life arose, evolved, and distributed itself across Earth. Potential signs of ancient life, however, are often challenging to establish as definitively biological and require multiple lines of evidence. Hydrothermal silica deposits may preserve some of the most ancient evidence of life on Earth, and such deposits are also suggested to exist on the surface of Mars. Here we use micron-scale elemental mapping by secondary ion mass spectrometry to explore for trace elements that are preferentially sequestered by microbial life and subsequently preserved in hydrothermal deposits. The spatial distributions and concentrations of trace elements associated with life in such hydrothermal silica deposits may have a novel application as a biosignature in constraining ancient life on Earth as well as the search for evidence of past life on Mars. We find that active microbial mats and recent siliceous sinter deposits from an alkaline hot spring in Yellowstone National Park appear to sequester and preserve Ga, Fe, and perhaps Mn through early diagenesis as indicators of the presence of life during formation. </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Gao, D., Hong, L., Wang, J., Zheng, D., </w:t>
      </w:r>
      <w:r w:rsidR="00616347">
        <w:t xml:space="preserve">2020. </w:t>
      </w:r>
      <w:r w:rsidRPr="004443A9">
        <w:t>Molecular simulation of gas adsorption characteristics and diffusion in micropores of lignite. Fuel 269, 117443.</w:t>
      </w:r>
    </w:p>
    <w:p w:rsidR="00DB42FE" w:rsidRPr="004443A9" w:rsidRDefault="00DB42FE" w:rsidP="00616347">
      <w:pPr>
        <w:pStyle w:val="EndNoteBibliography"/>
        <w:ind w:left="360"/>
      </w:pPr>
      <w:r w:rsidRPr="004443A9">
        <w:t>http://www.sciencedirect.com/science/article/pii/S0016236120304385</w:t>
      </w:r>
    </w:p>
    <w:p w:rsidR="00DB42FE" w:rsidRPr="004443A9" w:rsidRDefault="00DB42FE" w:rsidP="00616347">
      <w:pPr>
        <w:pStyle w:val="EndNoteBibliography"/>
        <w:spacing w:after="0"/>
        <w:ind w:left="360"/>
      </w:pPr>
      <w:r w:rsidRPr="004443A9">
        <w:lastRenderedPageBreak/>
        <w:t>In order to study the adsorption characteristics of single component, binary and ternary mixed gases in lignite, the microscopic processes of CO</w:t>
      </w:r>
      <w:r w:rsidRPr="004443A9">
        <w:rPr>
          <w:vertAlign w:val="subscript"/>
        </w:rPr>
        <w:t>2</w:t>
      </w:r>
      <w:r w:rsidRPr="004443A9">
        <w:t xml:space="preserve"> and N</w:t>
      </w:r>
      <w:r w:rsidRPr="004443A9">
        <w:rPr>
          <w:vertAlign w:val="subscript"/>
        </w:rPr>
        <w:t>2</w:t>
      </w:r>
      <w:r w:rsidRPr="004443A9">
        <w:t xml:space="preserve"> injection for CH</w:t>
      </w:r>
      <w:r w:rsidRPr="004443A9">
        <w:rPr>
          <w:vertAlign w:val="subscript"/>
        </w:rPr>
        <w:t>4</w:t>
      </w:r>
      <w:r w:rsidRPr="004443A9">
        <w:t xml:space="preserve"> desorption was revealed. In this paper, the molecular models of Shendong lignite (C</w:t>
      </w:r>
      <w:r w:rsidRPr="004443A9">
        <w:rPr>
          <w:vertAlign w:val="subscript"/>
        </w:rPr>
        <w:t>197</w:t>
      </w:r>
      <w:r w:rsidRPr="004443A9">
        <w:t>H</w:t>
      </w:r>
      <w:r w:rsidRPr="004443A9">
        <w:rPr>
          <w:vertAlign w:val="subscript"/>
        </w:rPr>
        <w:t>146</w:t>
      </w:r>
      <w:r w:rsidRPr="004443A9">
        <w:t>N</w:t>
      </w:r>
      <w:r w:rsidRPr="004443A9">
        <w:rPr>
          <w:vertAlign w:val="subscript"/>
        </w:rPr>
        <w:t>2</w:t>
      </w:r>
      <w:r w:rsidRPr="004443A9">
        <w:t>O</w:t>
      </w:r>
      <w:r w:rsidRPr="004443A9">
        <w:rPr>
          <w:vertAlign w:val="subscript"/>
        </w:rPr>
        <w:t>31</w:t>
      </w:r>
      <w:r w:rsidRPr="004443A9">
        <w:t>) at 273.15, 283.15, 293.15 and 313.15 K were established. Based on the theory of molecular mechanics and dynamics, the adsorption characteristics of lignite were simulated by means of grand canonical Monte Carlo and molecular dynamic methods. The adsorption capacities and configurations of CH</w:t>
      </w:r>
      <w:r w:rsidRPr="004443A9">
        <w:rPr>
          <w:vertAlign w:val="subscript"/>
        </w:rPr>
        <w:t>4</w:t>
      </w:r>
      <w:r w:rsidRPr="004443A9">
        <w:t>, CO</w:t>
      </w:r>
      <w:r w:rsidRPr="004443A9">
        <w:rPr>
          <w:vertAlign w:val="subscript"/>
        </w:rPr>
        <w:t>2</w:t>
      </w:r>
      <w:r w:rsidRPr="004443A9">
        <w:t>, N</w:t>
      </w:r>
      <w:r w:rsidRPr="004443A9">
        <w:rPr>
          <w:vertAlign w:val="subscript"/>
        </w:rPr>
        <w:t>2</w:t>
      </w:r>
      <w:r w:rsidRPr="004443A9">
        <w:t xml:space="preserve"> and H</w:t>
      </w:r>
      <w:r w:rsidRPr="004443A9">
        <w:rPr>
          <w:vertAlign w:val="subscript"/>
        </w:rPr>
        <w:t>2</w:t>
      </w:r>
      <w:r w:rsidRPr="004443A9">
        <w:t>O in lignite were obtained, and their corresponding adsorption isosteric heats and diffusion coefficients were calculated. The results show that the adsorption isotherm of a single component gas corresponds well to the Langmuir equation. For multi-component gas adsorption, the competitive adsorption advantage of CO</w:t>
      </w:r>
      <w:r w:rsidRPr="004443A9">
        <w:rPr>
          <w:vertAlign w:val="subscript"/>
        </w:rPr>
        <w:t>2</w:t>
      </w:r>
      <w:r w:rsidRPr="004443A9">
        <w:t xml:space="preserve"> is obvious, and adsorption capacity of CO</w:t>
      </w:r>
      <w:r w:rsidRPr="004443A9">
        <w:rPr>
          <w:vertAlign w:val="subscript"/>
        </w:rPr>
        <w:t>2</w:t>
      </w:r>
      <w:r w:rsidRPr="004443A9">
        <w:t xml:space="preserve"> is minimally affected by other factors. However, the adsorption capacities of CH</w:t>
      </w:r>
      <w:r w:rsidRPr="004443A9">
        <w:rPr>
          <w:vertAlign w:val="subscript"/>
        </w:rPr>
        <w:t>4</w:t>
      </w:r>
      <w:r w:rsidRPr="004443A9">
        <w:t xml:space="preserve"> and N</w:t>
      </w:r>
      <w:r w:rsidRPr="004443A9">
        <w:rPr>
          <w:vertAlign w:val="subscript"/>
        </w:rPr>
        <w:t>2</w:t>
      </w:r>
      <w:r w:rsidRPr="004443A9">
        <w:t xml:space="preserve"> respectively are seriously affected by their molar ratios in the mixtures and the moisture content of lignite. The adsorption isosteric heats of CH</w:t>
      </w:r>
      <w:r w:rsidRPr="004443A9">
        <w:rPr>
          <w:vertAlign w:val="subscript"/>
        </w:rPr>
        <w:t>4</w:t>
      </w:r>
      <w:r w:rsidRPr="004443A9">
        <w:t>, CO</w:t>
      </w:r>
      <w:r w:rsidRPr="004443A9">
        <w:rPr>
          <w:vertAlign w:val="subscript"/>
        </w:rPr>
        <w:t>2</w:t>
      </w:r>
      <w:r w:rsidRPr="004443A9">
        <w:t>, H</w:t>
      </w:r>
      <w:r w:rsidRPr="004443A9">
        <w:rPr>
          <w:vertAlign w:val="subscript"/>
        </w:rPr>
        <w:t>2</w:t>
      </w:r>
      <w:r w:rsidRPr="004443A9">
        <w:t>O and N</w:t>
      </w:r>
      <w:r w:rsidRPr="004443A9">
        <w:rPr>
          <w:vertAlign w:val="subscript"/>
        </w:rPr>
        <w:t>2</w:t>
      </w:r>
      <w:r w:rsidRPr="004443A9">
        <w:t xml:space="preserve"> decrease with increasing temperature, following the order of H</w:t>
      </w:r>
      <w:r w:rsidRPr="004443A9">
        <w:rPr>
          <w:vertAlign w:val="subscript"/>
        </w:rPr>
        <w:t>2</w:t>
      </w:r>
      <w:r w:rsidRPr="004443A9">
        <w:t>O &gt; CO</w:t>
      </w:r>
      <w:r w:rsidRPr="004443A9">
        <w:rPr>
          <w:vertAlign w:val="subscript"/>
        </w:rPr>
        <w:t>2</w:t>
      </w:r>
      <w:r w:rsidRPr="004443A9">
        <w:t xml:space="preserve"> &gt; CH</w:t>
      </w:r>
      <w:r w:rsidRPr="004443A9">
        <w:rPr>
          <w:vertAlign w:val="subscript"/>
        </w:rPr>
        <w:t>4</w:t>
      </w:r>
      <w:r w:rsidRPr="004443A9">
        <w:t xml:space="preserve"> &gt; N</w:t>
      </w:r>
      <w:r w:rsidRPr="004443A9">
        <w:rPr>
          <w:vertAlign w:val="subscript"/>
        </w:rPr>
        <w:t>2</w:t>
      </w:r>
      <w:r w:rsidRPr="004443A9">
        <w:t>.</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Garcia, C.A., Hagstrom, G.I., Larkin, A.A., Ustick, L.J., Levin, S.A., Lomas, M.W., Martiny, A.C., </w:t>
      </w:r>
      <w:r w:rsidR="00616347">
        <w:t xml:space="preserve">2020. </w:t>
      </w:r>
      <w:r w:rsidRPr="004443A9">
        <w:t>Linking regional shifts in microbial genome adaptation with surface ocean biogeochemistry. Philosophical Transactions of the Royal Society B: Biological Sciences 375, 20190254.</w:t>
      </w:r>
    </w:p>
    <w:p w:rsidR="00DB42FE" w:rsidRPr="004443A9" w:rsidRDefault="00DB42FE" w:rsidP="00616347">
      <w:pPr>
        <w:pStyle w:val="EndNoteBibliography"/>
        <w:ind w:left="360"/>
      </w:pPr>
      <w:r w:rsidRPr="004443A9">
        <w:t>https://doi.org/10.1098/rstb.2019.0254</w:t>
      </w:r>
    </w:p>
    <w:p w:rsidR="00DB42FE" w:rsidRPr="004443A9" w:rsidRDefault="00DB42FE" w:rsidP="00616347">
      <w:pPr>
        <w:pStyle w:val="EndNoteBibliography"/>
        <w:spacing w:after="0"/>
        <w:ind w:left="360"/>
      </w:pPr>
      <w:r w:rsidRPr="004443A9">
        <w:t>Linking ‘omics measurements with biogeochemical cycles is a widespread challenge in microbial community ecology. Here, we propose applying genomic adaptation as ‘biosensors’ for microbial investments to overcome nutrient stress. We then integrate this genomic information with a trait-based model to predict regional shifts in the elemental composition of marine plankton communities. We evaluated this approach using metagenomic and particulate organic matter samples from the Atlantic, Indian and Pacific Oceans. We find that our genome-based trait model significantly improves our prediction of particulate C : P (carbon : phosphorus) across ocean regions. Furthermore, we detect previously unrecognized ocean areas of iron, nitrogen and phosphorus stress. In many ecosystems, it can be very challenging to quantify microbial stress. Thus, a carefully calibrated genomic approach could become a widespread tool for understanding microbial responses to environmental changes and the biogeochemical outcomes.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Garnett, M.H., Hardie, S.M.L., Murray, C., </w:t>
      </w:r>
      <w:r w:rsidR="00616347">
        <w:t xml:space="preserve">2020. </w:t>
      </w:r>
      <w:r w:rsidRPr="004443A9">
        <w:t>Radiocarbon analysis reveals that vegetation facilitates the release of old methane in a temperate raised bog. Biogeochemistry 148, 1-17.</w:t>
      </w:r>
    </w:p>
    <w:p w:rsidR="00DB42FE" w:rsidRPr="004443A9" w:rsidRDefault="00DB42FE" w:rsidP="00616347">
      <w:pPr>
        <w:pStyle w:val="EndNoteBibliography"/>
        <w:ind w:left="360"/>
      </w:pPr>
      <w:r w:rsidRPr="004443A9">
        <w:t>https://doi.org/10.1007/s10533-020-00638-x</w:t>
      </w:r>
    </w:p>
    <w:p w:rsidR="00DB42FE" w:rsidRPr="004443A9" w:rsidRDefault="00DB42FE" w:rsidP="00616347">
      <w:pPr>
        <w:pStyle w:val="EndNoteBibliography"/>
        <w:spacing w:after="0"/>
        <w:ind w:left="360"/>
      </w:pPr>
      <w:r w:rsidRPr="004443A9">
        <w:t xml:space="preserve">Peatlands have accumulated vast quantities of organic carbon over thousands of years but it is unclear how these sensitive ecosystems will respond to future climate change. If emissions of methane from peatlands increase, then they may contribute increasingly towards climatic warming due to the higher greenhouse warming potential of this gas. We investigated the radiocarbon concentration of methane emissions from a temperate bog over 1.5 years, which we supported with measurements of the surface flux of methane and carbon dioxide. The radiocarbon content of methane emissions varied greatly, from modern (i.e. fixed from the atmosphere within recent decades) to ~ 1400 years BP. Flux rates of methane were spatially and temporally highly variable. A vegetation clipping experiment showed that plants had a great influence on the carbon isotope </w:t>
      </w:r>
      <w:r w:rsidRPr="004443A9">
        <w:lastRenderedPageBreak/>
        <w:t>composition and flux of methane emitted from the peat surface, consistent with earlier studies showing the key role of plants in peatland methane emissions. When plants were absent, emission rates were 70–94% lower and the radiocarbon age of methane emissions was much younger and less variable. Our radiocarbon measurements show that at this peatland, plant-associated methane emissions contain carbon originally fixed from the atmosphere up to hundreds of years earlier, consistent with a contribution from plant mediated transport of methane sourced from sub-surface layers.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Gastaldo, R.A., Kamo, S.L., Neveling, J., Geissman, J.W., Looy, C.V., Martini, A.M., </w:t>
      </w:r>
      <w:r w:rsidR="00616347">
        <w:t xml:space="preserve">2020. </w:t>
      </w:r>
      <w:r w:rsidRPr="004443A9">
        <w:t xml:space="preserve">The base of the </w:t>
      </w:r>
      <w:r w:rsidRPr="004443A9">
        <w:rPr>
          <w:i/>
        </w:rPr>
        <w:t xml:space="preserve">Lystrosaurus </w:t>
      </w:r>
      <w:r w:rsidRPr="004443A9">
        <w:t>Assemblage Zone, Karoo Basin, predates the end-Permian marine extinction. Nature Communications 11, 1428.</w:t>
      </w:r>
    </w:p>
    <w:p w:rsidR="00DB42FE" w:rsidRPr="004443A9" w:rsidRDefault="00DB42FE" w:rsidP="00616347">
      <w:pPr>
        <w:pStyle w:val="EndNoteBibliography"/>
        <w:ind w:left="360"/>
      </w:pPr>
      <w:r w:rsidRPr="004443A9">
        <w:t>https://doi.org/10.1038/s41467-020-15243-7</w:t>
      </w:r>
    </w:p>
    <w:p w:rsidR="00DB42FE" w:rsidRPr="004443A9" w:rsidRDefault="00DB42FE" w:rsidP="00616347">
      <w:pPr>
        <w:pStyle w:val="EndNoteBibliography"/>
        <w:spacing w:after="0"/>
        <w:ind w:left="360"/>
      </w:pPr>
      <w:r w:rsidRPr="004443A9">
        <w:t xml:space="preserve">The current model for the end-Permian terrestrial ecosystem crisis holds that systematic loss exhibited by an abrupt turnover from the </w:t>
      </w:r>
      <w:r w:rsidRPr="004443A9">
        <w:rPr>
          <w:i/>
        </w:rPr>
        <w:t>Daptocephalus</w:t>
      </w:r>
      <w:r w:rsidRPr="004443A9">
        <w:t xml:space="preserve"> to the </w:t>
      </w:r>
      <w:r w:rsidRPr="004443A9">
        <w:rPr>
          <w:i/>
        </w:rPr>
        <w:t>Lystrosaurus</w:t>
      </w:r>
      <w:r w:rsidRPr="004443A9">
        <w:t xml:space="preserve"> Assemblage Zone (AZ; Karoo Basin, South Africa) is time equivalent with the marine Permian–Triassic boundary (PTB). The marine event began at 251.941 ± 0.037 Ma, with the PTB placed at 251.902 ± 0.024 Ma (2σ). Radio-isotopic dates over this interval in the Karoo Basin were limited to one high resolution ash-fall deposit in the upper </w:t>
      </w:r>
      <w:r w:rsidRPr="004443A9">
        <w:rPr>
          <w:i/>
        </w:rPr>
        <w:t>Daptocephalus</w:t>
      </w:r>
      <w:r w:rsidRPr="004443A9">
        <w:t xml:space="preserve"> AZ (253.48 ± 0.15 (2σ) Ma) with no similar age constraints for the overlying biozone. Here, we present the first U-Pb CA-ID-TIMS zircon age (252.24 ± 0.11 (2σ) Ma) from a pristine ash-fall deposit in the Karoo </w:t>
      </w:r>
      <w:r w:rsidRPr="004443A9">
        <w:rPr>
          <w:i/>
        </w:rPr>
        <w:t>Lystrosaurus</w:t>
      </w:r>
      <w:r w:rsidRPr="004443A9">
        <w:t xml:space="preserve"> AZ. This date confirms that the lower exposures of the </w:t>
      </w:r>
      <w:r w:rsidRPr="004443A9">
        <w:rPr>
          <w:i/>
        </w:rPr>
        <w:t>Lystrosaurus</w:t>
      </w:r>
      <w:r w:rsidRPr="004443A9">
        <w:t xml:space="preserve"> AZ are of latest Permian age and that the purported turnover in the basin preceded the end-Permian marine event by over 300 ka, thus refuting the previously used stratigraphic marker for terrestrial end-Permian extinction.</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Gaucher, E.C., </w:t>
      </w:r>
      <w:r w:rsidR="00616347">
        <w:t xml:space="preserve">2020. </w:t>
      </w:r>
      <w:r w:rsidRPr="004443A9">
        <w:t>New perspectives in the industrial exploration for native hydrogen. Elements 16, 8-9.</w:t>
      </w:r>
    </w:p>
    <w:p w:rsidR="00DB42FE" w:rsidRPr="004443A9" w:rsidRDefault="00DB42FE" w:rsidP="00616347">
      <w:pPr>
        <w:pStyle w:val="EndNoteBibliography"/>
        <w:ind w:left="360"/>
      </w:pPr>
      <w:r w:rsidRPr="004443A9">
        <w:t>https://doi.org/10.2138/gselements.16.1.8</w:t>
      </w:r>
    </w:p>
    <w:p w:rsidR="00DB42FE" w:rsidRPr="004443A9" w:rsidRDefault="00DB42FE" w:rsidP="00616347">
      <w:pPr>
        <w:pStyle w:val="EndNoteBibliography"/>
        <w:ind w:left="360"/>
      </w:pPr>
      <w:r w:rsidRPr="004443A9">
        <w:t>Hydrogen gas (H</w:t>
      </w:r>
      <w:r w:rsidRPr="004443A9">
        <w:rPr>
          <w:vertAlign w:val="subscript"/>
        </w:rPr>
        <w:t>2</w:t>
      </w:r>
      <w:r w:rsidRPr="004443A9">
        <w:t>), when combusted, produces heat and water. There is no pollution, just water vapor. When hydrogen combines with oxygen, there is no generation of carbon dioxide, no production of cyclic hydro-carbons, no sulfur oxides (SO</w:t>
      </w:r>
      <w:r w:rsidRPr="004443A9">
        <w:rPr>
          <w:i/>
          <w:vertAlign w:val="subscript"/>
        </w:rPr>
        <w:t>x</w:t>
      </w:r>
      <w:r w:rsidRPr="004443A9">
        <w:t>), no nitrogen oxides (NO</w:t>
      </w:r>
      <w:r w:rsidRPr="004443A9">
        <w:rPr>
          <w:i/>
          <w:vertAlign w:val="subscript"/>
        </w:rPr>
        <w:t>x</w:t>
      </w:r>
      <w:r w:rsidRPr="004443A9">
        <w:t>), no ozone cogeneration. It seems that hydrogen, along with efficient energy production, solves many of our pollution problems, from urban air pollution to global warming. In the so-called Hydrogen Age of the future (Holland and Provenzano 2007), H</w:t>
      </w:r>
      <w:r w:rsidRPr="004443A9">
        <w:rPr>
          <w:vertAlign w:val="subscript"/>
        </w:rPr>
        <w:t>2</w:t>
      </w:r>
      <w:r w:rsidRPr="004443A9">
        <w:t xml:space="preserve"> will be mainly produced by the electrolysis of water using electricity that itself is derived from renewable energy sources or nuclear power plants. Steam methane reforming (a catalyzed reaction at high temperature where CH</w:t>
      </w:r>
      <w:r w:rsidRPr="004443A9">
        <w:rPr>
          <w:vertAlign w:val="subscript"/>
        </w:rPr>
        <w:t>4</w:t>
      </w:r>
      <w:r w:rsidRPr="004443A9">
        <w:t xml:space="preserve"> is combined with water to produce CO</w:t>
      </w:r>
      <w:r w:rsidRPr="004443A9">
        <w:rPr>
          <w:vertAlign w:val="subscript"/>
        </w:rPr>
        <w:t>2</w:t>
      </w:r>
      <w:r w:rsidRPr="004443A9">
        <w:t xml:space="preserve"> and H</w:t>
      </w:r>
      <w:r w:rsidRPr="004443A9">
        <w:rPr>
          <w:vertAlign w:val="subscript"/>
        </w:rPr>
        <w:t>2</w:t>
      </w:r>
      <w:r w:rsidRPr="004443A9">
        <w:t>) will only be acceptable as a source of H</w:t>
      </w:r>
      <w:r w:rsidRPr="004443A9">
        <w:rPr>
          <w:vertAlign w:val="subscript"/>
        </w:rPr>
        <w:t>2</w:t>
      </w:r>
      <w:r w:rsidRPr="004443A9">
        <w:t xml:space="preserve"> if it is associated with low-cost CO</w:t>
      </w:r>
      <w:r w:rsidRPr="004443A9">
        <w:rPr>
          <w:vertAlign w:val="subscript"/>
        </w:rPr>
        <w:t>2</w:t>
      </w:r>
      <w:r w:rsidRPr="004443A9">
        <w:t xml:space="preserve"> storage. But, in this future energy landscape, what is the role of naturally occurring hydrogen, sometimes referred to as native hydrogen?</w:t>
      </w:r>
    </w:p>
    <w:p w:rsidR="00DB42FE" w:rsidRPr="004443A9" w:rsidRDefault="00DB42FE" w:rsidP="00616347">
      <w:pPr>
        <w:pStyle w:val="EndNoteBibliography"/>
        <w:ind w:left="360"/>
      </w:pPr>
      <w:r w:rsidRPr="004443A9">
        <w:t>There has been a persistent idea in the petroleum industry that native hydrogen does not exist. This paradigm is clearly a response to the scarcity of H</w:t>
      </w:r>
      <w:r w:rsidRPr="004443A9">
        <w:rPr>
          <w:vertAlign w:val="subscript"/>
        </w:rPr>
        <w:t>2</w:t>
      </w:r>
      <w:r w:rsidRPr="004443A9">
        <w:t xml:space="preserve"> in the millions of wells drilled for oil and natural gas in sedimentary basins. In 2002, Nigel J.P. Smith from the British Geological Survey claimed in the journal </w:t>
      </w:r>
      <w:r w:rsidRPr="004443A9">
        <w:rPr>
          <w:i/>
        </w:rPr>
        <w:t>First Break</w:t>
      </w:r>
      <w:r w:rsidRPr="004443A9">
        <w:t xml:space="preserve">, “It is time for explorationists to take hydrogen more seriously” (Smith 2002). Eighteen years later, things are moving in this direction. Academic research over the last three </w:t>
      </w:r>
      <w:r w:rsidRPr="004443A9">
        <w:lastRenderedPageBreak/>
        <w:t>decades has begun to accumulate a significant number of observations of seeps of native hydrogen, together with abiotic methane (e.g., Smith et al. 2005; Etiope and Schoell 2014; Prinzhoffer and Deville 2015). Two main geological environments are involved: (1) Precambrian crystalline shields, (2) serpentinized ultramafic rocks at mid-ocean ridges and within land-based ophiolite-peridotite massifs. These two environments have only rarely been drilled by the oil and gas industry, explaining why significant reservoirs of hydrogen have had almost no chance of being fortuitously discovered during the exploration of petroleum provinces. The mining industry is frequently active in these kinds of environments but does not always monitor the composition of the gases that escape from the rocks. Furthermore, working depths in mining operations are generally less deep than in petroleum exploration, and the excavated rocks are probably already degassed due to blasting and other mining operations.</w:t>
      </w:r>
    </w:p>
    <w:p w:rsidR="00DB42FE" w:rsidRPr="004443A9" w:rsidRDefault="00DB42FE" w:rsidP="00616347">
      <w:pPr>
        <w:pStyle w:val="EndNoteBibliography"/>
        <w:ind w:left="360"/>
      </w:pPr>
      <w:r w:rsidRPr="004443A9">
        <w:t>In many ways, the current state of exploration for native hydrogen resembles the beginnings of oil exploration. Before the pioneering work of “Colonel” Edwin Drake, whose famous oil strike in 1859 at Titusville (Pennsylvania, USA) set off the first oil rush, oil and gas were mainly known from seeps at the Earth’s surface. Surface oil and gas seeps have been known since antiquity, for example in the Mesopotamian Area. The Bible even refers to Noah using bitumen for caulking and water-proofing during construction of the Ark, and methane escaping from the mud volcanoes of Azerbaijan were known to the Zoroastrian “fireworshippers” more than 2,000 years ago. Drake invented “creekology”, a petroleum prospecting method based on the systematic search for natural oil seeps that are typically found in erosion relief forms (i.e., valleys and creeks — hence the name). However, Drake had no knowledge of the anticline theory nor any idea of what creates a petroleum trap. It was only 26 years later in 1885 that American geologist Israel Charles White was the first to associate the existence of organic matter, the presence of reservoir rocks, and anticlinal traps with the successful location of oil and gas fields. The three key elements that constitute a petroleum system (source rock, reservoir, and trap) were finally connected.</w:t>
      </w:r>
    </w:p>
    <w:p w:rsidR="00DB42FE" w:rsidRPr="004443A9" w:rsidRDefault="00DB42FE" w:rsidP="00616347">
      <w:pPr>
        <w:pStyle w:val="EndNoteBibliography"/>
        <w:ind w:left="360"/>
      </w:pPr>
      <w:r w:rsidRPr="004443A9">
        <w:t>Geologists should now adopt the tripartite concept of “source rock, reservoir, and trap” in the exploration for native hydrogen and abiotic gases. Some important parts of the native hydrogen system are already known. Three main types of source rocks have already been identified: (1) ultrabasic rocks; (2) iron-rich cratons; (3) uranium-rich rocks. For the first two sources, the production of H</w:t>
      </w:r>
      <w:r w:rsidRPr="004443A9">
        <w:rPr>
          <w:vertAlign w:val="subscript"/>
        </w:rPr>
        <w:t>2</w:t>
      </w:r>
      <w:r w:rsidRPr="004443A9">
        <w:t xml:space="preserve"> is linked to the oxidation of Fe(II) by H</w:t>
      </w:r>
      <w:r w:rsidRPr="004443A9">
        <w:rPr>
          <w:vertAlign w:val="subscript"/>
        </w:rPr>
        <w:t>2</w:t>
      </w:r>
      <w:r w:rsidRPr="004443A9">
        <w:t>O. For the third source, the production of H</w:t>
      </w:r>
      <w:r w:rsidRPr="004443A9">
        <w:rPr>
          <w:vertAlign w:val="subscript"/>
        </w:rPr>
        <w:t>2</w:t>
      </w:r>
      <w:r w:rsidRPr="004443A9">
        <w:t xml:space="preserve"> is attributable to the radiolysis of H</w:t>
      </w:r>
      <w:r w:rsidRPr="004443A9">
        <w:rPr>
          <w:vertAlign w:val="subscript"/>
        </w:rPr>
        <w:t>2</w:t>
      </w:r>
      <w:r w:rsidRPr="004443A9">
        <w:t>O by natural radioactivity. The transformation of H</w:t>
      </w:r>
      <w:r w:rsidRPr="004443A9">
        <w:rPr>
          <w:vertAlign w:val="subscript"/>
        </w:rPr>
        <w:t>2</w:t>
      </w:r>
      <w:r w:rsidRPr="004443A9">
        <w:t xml:space="preserve"> into abiotic CH</w:t>
      </w:r>
      <w:r w:rsidRPr="004443A9">
        <w:rPr>
          <w:vertAlign w:val="subscript"/>
        </w:rPr>
        <w:t>4</w:t>
      </w:r>
      <w:r w:rsidRPr="004443A9">
        <w:t xml:space="preserve"> can occur under some circumstances through the Sabatier or Fischer–Tropsch reactions (Reeves and Fiebig 2020 this issue). This means that detection of abiotic methane may be a useful indicator for the presence of native hydrogen.</w:t>
      </w:r>
    </w:p>
    <w:p w:rsidR="00DB42FE" w:rsidRPr="004443A9" w:rsidRDefault="00DB42FE" w:rsidP="00616347">
      <w:pPr>
        <w:pStyle w:val="EndNoteBibliography"/>
        <w:ind w:left="360"/>
      </w:pPr>
      <w:r w:rsidRPr="004443A9">
        <w:t>If we follow a discovery pathway analogous to that of the petroleum industry, the first method of exploration may be to find H</w:t>
      </w:r>
      <w:r w:rsidRPr="004443A9">
        <w:rPr>
          <w:vertAlign w:val="subscript"/>
        </w:rPr>
        <w:t>2</w:t>
      </w:r>
      <w:r w:rsidRPr="004443A9">
        <w:t xml:space="preserve"> seeps in areas where source rocks are known. Seeps of native hydrogen and abiotic gases have already been localized in numerous places in subaerial settings. At least one of these seeps has been known since antiquity: Mount Chimaera (Yanartas¸, Turkey), which is known for its “eternal fires”. Ctesias is the oldest traceable author describing the phenomenon and is cited by Pliny the Elder in his second book of </w:t>
      </w:r>
      <w:r w:rsidRPr="004443A9">
        <w:rPr>
          <w:i/>
        </w:rPr>
        <w:t>Historia Naturalis</w:t>
      </w:r>
      <w:r w:rsidRPr="004443A9">
        <w:t xml:space="preserve"> (77 AD). The gas at Mount Chimaera is a mixture of abiotic CH</w:t>
      </w:r>
      <w:r w:rsidRPr="004443A9">
        <w:rPr>
          <w:vertAlign w:val="subscript"/>
        </w:rPr>
        <w:t>4</w:t>
      </w:r>
      <w:r w:rsidRPr="004443A9">
        <w:t xml:space="preserve"> (87 vol%) and H</w:t>
      </w:r>
      <w:r w:rsidRPr="004443A9">
        <w:rPr>
          <w:vertAlign w:val="subscript"/>
        </w:rPr>
        <w:t>2</w:t>
      </w:r>
      <w:r w:rsidRPr="004443A9">
        <w:t xml:space="preserve"> (10 vol%) (Etiope et al. 2011). Etiope et al. (2011) estimate that 150–190 t of CH</w:t>
      </w:r>
      <w:r w:rsidRPr="004443A9">
        <w:rPr>
          <w:vertAlign w:val="subscript"/>
        </w:rPr>
        <w:t>4</w:t>
      </w:r>
      <w:r w:rsidRPr="004443A9">
        <w:t xml:space="preserve"> is released to the atmosphere per year at this site. The seeps here have been continuously active for more than 2,000 years and, as suggested by Etiope et al. (2011), are evidently linked to low-temperature serpentinization processes (&lt;100–150 °C) below the surface of Mount Chimaera. Numerous other abiotic gas seepages, most of which are associated with ophiolitic provinces, have been reported in the literature from locations around the world </w:t>
      </w:r>
      <w:r w:rsidRPr="004443A9">
        <w:lastRenderedPageBreak/>
        <w:t>(including Turkey, Oman, Japan, Philippines, New Zealand, New Caledonia, Greece, Portugal, Spain, Italy, Bosnia, California, and Canada). In the mixed gas that is discharged at these localities, H</w:t>
      </w:r>
      <w:r w:rsidRPr="004443A9">
        <w:rPr>
          <w:vertAlign w:val="subscript"/>
        </w:rPr>
        <w:t>2</w:t>
      </w:r>
      <w:r w:rsidRPr="004443A9">
        <w:t xml:space="preserve"> is generally less abundant than CH</w:t>
      </w:r>
      <w:r w:rsidRPr="004443A9">
        <w:rPr>
          <w:vertAlign w:val="subscript"/>
        </w:rPr>
        <w:t>4</w:t>
      </w:r>
      <w:r w:rsidRPr="004443A9">
        <w:t>. Etiope et al. (2016 and references therein) report three sites of noticeable H</w:t>
      </w:r>
      <w:r w:rsidRPr="004443A9">
        <w:rPr>
          <w:vertAlign w:val="subscript"/>
        </w:rPr>
        <w:t>2</w:t>
      </w:r>
      <w:r w:rsidRPr="004443A9">
        <w:t>-concentration (&gt;2,600 ppm, or 0.26%, in the gas phase) in Ronda (Spain), Tablelands (Canada), and Happo (Japan). Monnin et al. (2014) indicate more than 20% H</w:t>
      </w:r>
      <w:r w:rsidRPr="004443A9">
        <w:rPr>
          <w:vertAlign w:val="subscript"/>
        </w:rPr>
        <w:t>2</w:t>
      </w:r>
      <w:r w:rsidRPr="004443A9">
        <w:t xml:space="preserve"> from the Prony Bay seepage (New Caledonia). Boulart et al. (2013) report up to 12% H</w:t>
      </w:r>
      <w:r w:rsidRPr="004443A9">
        <w:rPr>
          <w:vertAlign w:val="subscript"/>
        </w:rPr>
        <w:t>2</w:t>
      </w:r>
      <w:r w:rsidRPr="004443A9">
        <w:t xml:space="preserve"> in Oman’s blue pools, and up to 1% H</w:t>
      </w:r>
      <w:r w:rsidRPr="004443A9">
        <w:rPr>
          <w:vertAlign w:val="subscript"/>
        </w:rPr>
        <w:t>2</w:t>
      </w:r>
      <w:r w:rsidRPr="004443A9">
        <w:t xml:space="preserve"> in the hyperalkaline springs from the Voltry Massif (Italy).</w:t>
      </w:r>
    </w:p>
    <w:p w:rsidR="00DB42FE" w:rsidRPr="004443A9" w:rsidRDefault="00DB42FE" w:rsidP="00616347">
      <w:pPr>
        <w:pStyle w:val="EndNoteBibliography"/>
        <w:ind w:left="360"/>
      </w:pPr>
      <w:r w:rsidRPr="004443A9">
        <w:t>Hydrogen seeps also have been observed in ancient cratons (including those in Russia, Brazil, USA, South Africa, and Finland) and, in some cases, form subcircular depressions that can emit significant quantities of H</w:t>
      </w:r>
      <w:r w:rsidRPr="004443A9">
        <w:rPr>
          <w:vertAlign w:val="subscript"/>
        </w:rPr>
        <w:t>2</w:t>
      </w:r>
      <w:r w:rsidRPr="004443A9">
        <w:t>: 21,000–27,000 m</w:t>
      </w:r>
      <w:r w:rsidRPr="004443A9">
        <w:rPr>
          <w:vertAlign w:val="superscript"/>
        </w:rPr>
        <w:t>3</w:t>
      </w:r>
      <w:r w:rsidRPr="004443A9">
        <w:t xml:space="preserve"> per day in one circular structure 1 km in diameter located in the Russian part of the European craton (Larin et al. 2015). The origin of H</w:t>
      </w:r>
      <w:r w:rsidRPr="004443A9">
        <w:rPr>
          <w:vertAlign w:val="subscript"/>
        </w:rPr>
        <w:t>2</w:t>
      </w:r>
      <w:r w:rsidRPr="004443A9">
        <w:t xml:space="preserve"> in these latter cases remains unclear, but may be related to serpentinization of deeply buried ultrabasic rocks, radiolysis of water, or the oxidation of Fe(II)-bearing minerals (such as siderite, biotite, or amphibole).</w:t>
      </w:r>
    </w:p>
    <w:p w:rsidR="00DB42FE" w:rsidRPr="004443A9" w:rsidRDefault="00DB42FE" w:rsidP="00616347">
      <w:pPr>
        <w:pStyle w:val="EndNoteBibliography"/>
        <w:ind w:left="360"/>
      </w:pPr>
      <w:r w:rsidRPr="004443A9">
        <w:t>Offshore (i.e., marine) production of H</w:t>
      </w:r>
      <w:r w:rsidRPr="004443A9">
        <w:rPr>
          <w:vertAlign w:val="subscript"/>
        </w:rPr>
        <w:t>2</w:t>
      </w:r>
      <w:r w:rsidRPr="004443A9">
        <w:t xml:space="preserve"> and gas discharge in hydro-thermal vents occur along mid-oceanic ridges, as demonstrated by pioneering discoveries on the East Pacific Ridge and the Mid-Atlantic Ridge (Welhan and Craig 1979; Charlou and Donval 1993; Bogdanov et al. 1995). One such case, the famous Lost City hydrothermal system, is not directly on the ridge but occurs close to the Atlantis Transform Fault, 15 km west from the Mid-Atlantic Ridge (Proskurowski et al. 2008). In many cases, serpentinization is the main reaction accounting for the elevated H</w:t>
      </w:r>
      <w:r w:rsidRPr="004443A9">
        <w:rPr>
          <w:vertAlign w:val="subscript"/>
        </w:rPr>
        <w:t>2</w:t>
      </w:r>
      <w:r w:rsidRPr="004443A9">
        <w:t xml:space="preserve"> concentrations in the hydrothermal fluids.</w:t>
      </w:r>
    </w:p>
    <w:p w:rsidR="00DB42FE" w:rsidRPr="004443A9" w:rsidRDefault="00DB42FE" w:rsidP="00616347">
      <w:pPr>
        <w:pStyle w:val="EndNoteBibliography"/>
        <w:ind w:left="360"/>
      </w:pPr>
      <w:r w:rsidRPr="004443A9">
        <w:t>Following the discoveries of oil and gas seeps, the “tipping point” for the petroleum industry was the well drilled by Colonel Drake. In the case of native hydrogen, we may be at this point (or close to it) with the recent discovery made in Mali near the village of Bourakebougou (Prinzhofer et al. 2018). After the first analysis of the well Bougou-1 confirmed the presence of almost pure hydrogen (98%), a dozen exploratory wells drilled in the vicinity confirmed the presence of a significant hydrogen field (&gt;8 km in diameter) with overpressured fluids (water + H</w:t>
      </w:r>
      <w:r w:rsidRPr="004443A9">
        <w:rPr>
          <w:vertAlign w:val="subscript"/>
        </w:rPr>
        <w:t>2</w:t>
      </w:r>
      <w:r w:rsidRPr="004443A9">
        <w:t>). A “native hydrogen kitchen” (a natural geochemical reactor) apparently exists here, although we don’t yet know how it functions. Beneath the site, five stacked reservoir intervals are separated from one another by doleritic sills. A system of reservoirs and traps is consequently present, as described by Prinzhofer and colleagues. In Mali, therefore, a complete and significant “H</w:t>
      </w:r>
      <w:r w:rsidRPr="004443A9">
        <w:rPr>
          <w:vertAlign w:val="subscript"/>
        </w:rPr>
        <w:t>2</w:t>
      </w:r>
      <w:r w:rsidRPr="004443A9">
        <w:t xml:space="preserve"> system” seems to be described for the first time, raising exciting questions. What are the volumes of H</w:t>
      </w:r>
      <w:r w:rsidRPr="004443A9">
        <w:rPr>
          <w:vertAlign w:val="subscript"/>
        </w:rPr>
        <w:t>2</w:t>
      </w:r>
      <w:r w:rsidRPr="004443A9">
        <w:t xml:space="preserve"> in these reservoirs? What are the results of the production test of the wells? Is long-term exploitation feasible? Is this resource renewable? Can we artificially enhance the production? Is there a local market or an export market for this energy source? Answers to these questions are not currently available, but we can imagine that they will come soon.</w:t>
      </w:r>
    </w:p>
    <w:p w:rsidR="00DB42FE" w:rsidRPr="004443A9" w:rsidRDefault="00DB42FE" w:rsidP="00616347">
      <w:pPr>
        <w:pStyle w:val="EndNoteBibliography"/>
        <w:ind w:left="360"/>
      </w:pPr>
      <w:r w:rsidRPr="004443A9">
        <w:t>It is worth mentioning that opportunities to detect deep hydrogen reservoirs based on measurements of H</w:t>
      </w:r>
      <w:r w:rsidRPr="004443A9">
        <w:rPr>
          <w:vertAlign w:val="subscript"/>
        </w:rPr>
        <w:t>2</w:t>
      </w:r>
      <w:r w:rsidRPr="004443A9">
        <w:t xml:space="preserve"> in soils or aquifers close to Earth’s surface appear to be severely limited for three reasons. First, the extremely small size of the H</w:t>
      </w:r>
      <w:r w:rsidRPr="004443A9">
        <w:rPr>
          <w:vertAlign w:val="subscript"/>
        </w:rPr>
        <w:t>2</w:t>
      </w:r>
      <w:r w:rsidRPr="004443A9">
        <w:t xml:space="preserve"> molecule allows it to advect or diffuse very rapidly through near-surface environments into the atmosphere. Second, the high reactivity of H</w:t>
      </w:r>
      <w:r w:rsidRPr="004443A9">
        <w:rPr>
          <w:vertAlign w:val="subscript"/>
        </w:rPr>
        <w:t>2</w:t>
      </w:r>
      <w:r w:rsidRPr="004443A9">
        <w:t xml:space="preserve"> with many oxidants (such as Fe-oxides, Mn-oxides, and nitrates) can rapidly destroy H</w:t>
      </w:r>
      <w:r w:rsidRPr="004443A9">
        <w:rPr>
          <w:vertAlign w:val="subscript"/>
        </w:rPr>
        <w:t>2</w:t>
      </w:r>
      <w:r w:rsidRPr="004443A9">
        <w:t xml:space="preserve"> in oxidized near-surface environments. Third, numerous microorganisms are avid consumers of H</w:t>
      </w:r>
      <w:r w:rsidRPr="004443A9">
        <w:rPr>
          <w:vertAlign w:val="subscript"/>
        </w:rPr>
        <w:t>2</w:t>
      </w:r>
      <w:r w:rsidRPr="004443A9">
        <w:t xml:space="preserve"> as a source of energy to support their metabolisms (Ménez 2020 this issue), and these organisms may deplete H</w:t>
      </w:r>
      <w:r w:rsidRPr="004443A9">
        <w:rPr>
          <w:vertAlign w:val="subscript"/>
        </w:rPr>
        <w:t>2</w:t>
      </w:r>
      <w:r w:rsidRPr="004443A9">
        <w:t xml:space="preserve"> in shallow environments. On this latter point, a rich literature exists that shows the link between the development of life and the availability of H</w:t>
      </w:r>
      <w:r w:rsidRPr="004443A9">
        <w:rPr>
          <w:vertAlign w:val="subscript"/>
        </w:rPr>
        <w:t>2</w:t>
      </w:r>
      <w:r w:rsidRPr="004443A9">
        <w:t xml:space="preserve"> at Earth’s surface (Martin et al. 2008; Russell et al. </w:t>
      </w:r>
      <w:r w:rsidRPr="004443A9">
        <w:lastRenderedPageBreak/>
        <w:t>2010). All these adverse factors suggest that the most successful exploration efforts are likely to involve drilling to a depth where these near-surface processes will be excluded.</w:t>
      </w:r>
    </w:p>
    <w:p w:rsidR="00DB42FE" w:rsidRPr="004443A9" w:rsidRDefault="00DB42FE" w:rsidP="00616347">
      <w:pPr>
        <w:pStyle w:val="EndNoteBibliography"/>
        <w:ind w:left="360"/>
      </w:pPr>
      <w:r w:rsidRPr="004443A9">
        <w:t>This article is a broad summary of the current state of knowledge concerning the potential exploration for native hydrogen across the globe. Native hydrogen has been identified in numerous source rocks in zones beyond sedimentary basins where petroleum companies typically operate. At the beginning of 2019 we may be at a tipping point with the first exploitable H</w:t>
      </w:r>
      <w:r w:rsidRPr="004443A9">
        <w:rPr>
          <w:vertAlign w:val="subscript"/>
        </w:rPr>
        <w:t>2</w:t>
      </w:r>
      <w:r w:rsidRPr="004443A9">
        <w:t xml:space="preserve"> field, potentially discovered in Mali. Of course, a number of issues and questions must still be resolved if these initial discoveries are to be transformed into a sustainable and abundant source of energy for society. However, the competencies that exist in the petroleum industry can readily be adapted by and to this new sector. New expertise will be needed to account for the reactivity of the hydrogen molecule in order to maximize exploration efforts and minimize the potential for chemical or biological consumption.</w:t>
      </w:r>
    </w:p>
    <w:p w:rsidR="00DB42FE" w:rsidRPr="004443A9" w:rsidRDefault="00DB42FE" w:rsidP="00616347">
      <w:pPr>
        <w:pStyle w:val="EndNoteBibliography"/>
        <w:spacing w:after="0"/>
        <w:ind w:left="360"/>
      </w:pPr>
      <w:r w:rsidRPr="004443A9">
        <w:t>Now is the time to launch R&amp;D projects that couple geology, geophysics, geomechanics, hydrology, and geochemistry, together with deep exploration wells, in the search for exploitable native hydrogen. This objective is a 21</w:t>
      </w:r>
      <w:r w:rsidRPr="004443A9">
        <w:rPr>
          <w:vertAlign w:val="superscript"/>
        </w:rPr>
        <w:t>st</w:t>
      </w:r>
      <w:r w:rsidRPr="004443A9">
        <w:t xml:space="preserve"> century challenge for any exploration company that has a pioneering spirit.</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Gavard, R., Jones, H.E., Palacio Lozano, D.C., Thomas, M.J., Rossell, D., Spencer, S.E.F., Barrow, M.P., </w:t>
      </w:r>
      <w:r w:rsidR="00616347">
        <w:t xml:space="preserve">2020. </w:t>
      </w:r>
      <w:r w:rsidRPr="004443A9">
        <w:t>KairosMS: A new solution for the processing of hyphenated ultrahigh resolution mass spectrometry data. Analytical Chemistry 92, 3775-3786.</w:t>
      </w:r>
    </w:p>
    <w:p w:rsidR="00DB42FE" w:rsidRPr="004443A9" w:rsidRDefault="00DB42FE" w:rsidP="00616347">
      <w:pPr>
        <w:pStyle w:val="EndNoteBibliography"/>
        <w:ind w:left="360"/>
      </w:pPr>
      <w:r w:rsidRPr="004443A9">
        <w:t>https://doi.org/10.1021/acs.analchem.9b05113</w:t>
      </w:r>
    </w:p>
    <w:p w:rsidR="00DB42FE" w:rsidRPr="004443A9" w:rsidRDefault="00DB42FE" w:rsidP="00616347">
      <w:pPr>
        <w:pStyle w:val="EndNoteBibliography"/>
        <w:spacing w:after="0"/>
        <w:ind w:left="360"/>
      </w:pPr>
      <w:r w:rsidRPr="004443A9">
        <w:t xml:space="preserve">The use of hyphenated Fourier transform mass spectrometry (FTMS) methods affords additional information about complex chemical mixtures. Coeluted components can be resolved thanks to the ultrahigh resolving power, which also allows extracted ion chromatograms (EICs) to be used for the observation of isomers. As such data sets can be large and data analyses laborious, improved tools are needed for data analyses and extraction of key information. The typical workflow for this type of data is based upon manually dividing the total ion chromatogram (TIC) into several windows of usually equal retention time, averaging the signal of each window to create a single mass spectrum, extracting a peak list, performing the compositional assignments, visualizing the results, and repeating the process for each window. Through removal of the need to manually divide a data set into many time windows and analyze each one, a time-consuming workflow has been significantly simplified. An environmental sample from the oil sands region of Alberta, Canada, and dissolved organic matter samples from the Suwannee River Fulvic Acid (SRFA) and marine waters (Marine DOM) were used as a test bed for the new method. A complete solution named KairosMS was developed in the R language utilizing the Tidyverse packages and Shiny for the user interface. KairosMS imports raw data from common file types, processes it, and exports a mass list for compositional assignments. KairosMS then incorporates those assignments for analysis and visualization. The present method increases the computational speed while reducing the manual work of the analysis when compared to other current methods. The algorithm subsequently incorporates the assignments into the processed data set, generating a series of interactive plots, EICs for individual components or entire compound classes, and can export raw data or graphics for off-line use. Using the example of petroleum related data, it is then visualized according to heteroatom class, carbon number, double bond equivalents, and retention time. The algorithm also </w:t>
      </w:r>
      <w:r w:rsidRPr="004443A9">
        <w:lastRenderedPageBreak/>
        <w:t>gives the ability to screen for isomeric contributions and to follow homologous series or compound classes, instead of individual components, as a function of time.</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Ge, R., Wilde, S.A., Kemp, A.I.S., Jeon, H., Martin, L.A.J., Zhu, W., Wu, H., </w:t>
      </w:r>
      <w:r w:rsidR="00616347">
        <w:t xml:space="preserve">2020. </w:t>
      </w:r>
      <w:r w:rsidRPr="004443A9">
        <w:t xml:space="preserve">Generation of Eoarchean continental crust from altered mafic rocks derived from a chondritic mantle: The </w:t>
      </w:r>
      <w:r w:rsidRPr="004443A9">
        <w:rPr>
          <w:rFonts w:ascii="Cambria Math" w:hAnsi="Cambria Math" w:cs="Cambria Math"/>
        </w:rPr>
        <w:t>∼</w:t>
      </w:r>
      <w:r w:rsidRPr="004443A9">
        <w:t>3.72 Ga Aktash gneisses, Tarim Craton (NW China). Earth and Planetary Science Letters 538, 116225.</w:t>
      </w:r>
    </w:p>
    <w:p w:rsidR="00DB42FE" w:rsidRPr="004443A9" w:rsidRDefault="00DB42FE" w:rsidP="00616347">
      <w:pPr>
        <w:pStyle w:val="EndNoteBibliography"/>
        <w:ind w:left="360"/>
      </w:pPr>
      <w:r w:rsidRPr="004443A9">
        <w:t>http://www.sciencedirect.com/science/article/pii/S0012821X20301680</w:t>
      </w:r>
    </w:p>
    <w:p w:rsidR="00DB42FE" w:rsidRPr="004443A9" w:rsidRDefault="00DB42FE" w:rsidP="00616347">
      <w:pPr>
        <w:pStyle w:val="EndNoteBibliography"/>
        <w:spacing w:after="0"/>
        <w:ind w:left="360"/>
      </w:pPr>
      <w:r w:rsidRPr="004443A9">
        <w:t xml:space="preserve">Our understanding of crust – mantle evolution and geodynamics of the early Earth has been hampered by the scarcity of Hadean to Eoarchean rocks and by the almost ubiquitous isotopic disturbance of the oldest rocks. Here we present in-situ zircon U-Pb ages, O-OH and Lu-Hf isotopes, as well as whole-rock Sr-Nd-Hf-Pb isotopes for the recently identified Eoarchean Aktash gneisses in the Tarim Craton, NW China. The new age data confirm that the Aktash gneisses were formed at least by </w:t>
      </w:r>
      <w:r w:rsidRPr="004443A9">
        <w:rPr>
          <w:rFonts w:ascii="Cambria Math" w:hAnsi="Cambria Math" w:cs="Cambria Math"/>
        </w:rPr>
        <w:t>∼</w:t>
      </w:r>
      <w:r w:rsidRPr="004443A9">
        <w:t xml:space="preserve">3.72 Ga and were affected by two metamorphic events at </w:t>
      </w:r>
      <w:r w:rsidRPr="004443A9">
        <w:rPr>
          <w:rFonts w:ascii="Cambria Math" w:hAnsi="Cambria Math" w:cs="Cambria Math"/>
        </w:rPr>
        <w:t>∼</w:t>
      </w:r>
      <w:r w:rsidRPr="004443A9">
        <w:t xml:space="preserve">3.56 and </w:t>
      </w:r>
      <w:r w:rsidRPr="004443A9">
        <w:rPr>
          <w:rFonts w:ascii="Cambria Math" w:hAnsi="Cambria Math" w:cs="Cambria Math"/>
        </w:rPr>
        <w:t>∼</w:t>
      </w:r>
      <w:r w:rsidRPr="004443A9">
        <w:t xml:space="preserve">2.0 Ga, respectively. Whole-rock isotopic data show that the Sr-Nd-Hf-Pb isotopic systematics have all been variously disturbed by </w:t>
      </w:r>
      <w:r w:rsidRPr="004443A9">
        <w:rPr>
          <w:rFonts w:ascii="Cambria Math" w:hAnsi="Cambria Math" w:cs="Cambria Math"/>
        </w:rPr>
        <w:t>∼</w:t>
      </w:r>
      <w:r w:rsidRPr="004443A9">
        <w:t>2.0 Ga regional granulite facies metamorphism, resulting in decoupling of Nd-Hf isotopic systematics that is, in some samples, similar to that observed in SW Greenland. The least disturbed sample (16ALT67), however, yielded chondritic to slightly sub-chondritic whole-rock εNd (−0.3) and εHf (−0.9). This is consistent with the in-situ magmatic zircon εHf (weighted mean −0.2 to −1.8) for most samples of the Aktash gneisses, suggesting a mafic source derived from chondritic mantle with a short crustal residence time. Our data thus provide no evidence for the presence of an Eoarchean depleted mantle or a Hadean enriched crust, implying that early Earth crust – mantle differentiation was either limited or balanced by large-scale crustal recycling. In-situ zircon O–OH data show that metamorphism and later alteration tend to decrease the zircon δ18O of the Aktash gneisses, and the weighed mean δ18O of pristine magmatic zircons (6.2–6.3‰) from the least disturbed samples indicate that the mafic source was mildly altered at low temperature by the early hydrosphere, facilitating partial melting and formation of some of the earliest preserved continental crust known on Earth.</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Geerlings, N.M.J., Karman, C., Trashin, S., As, K.S., Kienhuis, M.V.M., Hidalgo-Martinez, S., Vasquez-Cardenas, D., Boschker, H.T.S., De Wael, K., Middelburg, J.J., Polerecky, L., Meysman, F.J.R., </w:t>
      </w:r>
      <w:r w:rsidR="00616347">
        <w:t xml:space="preserve">2020. </w:t>
      </w:r>
      <w:r w:rsidRPr="004443A9">
        <w:t>Division of labor and growth during electrical cooperation in multicellular cable bacteria. Proceedings of the National Academy of Sciences 117, 5478-5485.</w:t>
      </w:r>
    </w:p>
    <w:p w:rsidR="00DB42FE" w:rsidRPr="004443A9" w:rsidRDefault="00DB42FE" w:rsidP="00616347">
      <w:pPr>
        <w:pStyle w:val="EndNoteBibliography"/>
        <w:ind w:left="360"/>
      </w:pPr>
      <w:r w:rsidRPr="004443A9">
        <w:t>https://doi.org/10.1073/pnas.1916244117</w:t>
      </w:r>
    </w:p>
    <w:p w:rsidR="00DB42FE" w:rsidRPr="004443A9" w:rsidRDefault="00DB42FE" w:rsidP="00616347">
      <w:pPr>
        <w:pStyle w:val="EndNoteBibliography"/>
        <w:ind w:left="360"/>
      </w:pPr>
      <w:r w:rsidRPr="004443A9">
        <w:t>Significance: Cable bacteria form centimeter-long, multicellular filaments whose energy metabolism involves cooperation among cells that separately perform oxidation of the electron donor and reduction of the electron acceptor. This cooperative division of labor is facilitated via long-range electrical currents that run from cell to cell along a network of conductive fibers. Here we show that biomass synthesis shows a surprising asymmetry along the filament: only the cells oxidizing the electron donor conserve energy for growth, while the other cells reduce electron acceptors without biosynthesis. Our study hence provides insights into the physiology of an unconventional chemolithotroph, which forms a multicellular electrically connected system with unique functional differentiation, integration, and coordination.</w:t>
      </w:r>
    </w:p>
    <w:p w:rsidR="00DB42FE" w:rsidRPr="004443A9" w:rsidRDefault="00DB42FE" w:rsidP="00616347">
      <w:pPr>
        <w:pStyle w:val="EndNoteBibliography"/>
        <w:spacing w:after="0"/>
        <w:ind w:left="360"/>
      </w:pPr>
      <w:r w:rsidRPr="004443A9">
        <w:lastRenderedPageBreak/>
        <w:t xml:space="preserve">Abstract: Multicellularity is a key evolutionary innovation, leading to coordinated activity and resource sharing among cells, which generally occurs via the physical exchange of chemical compounds. However, filamentous cable bacteria display a unique metabolism in which redox transformations in distant cells are coupled via long-distance electron transport rather than an exchange of chemicals. This challenges our understanding of organismal functioning, as the link among electron transfer, metabolism, energy conservation, and filament growth in cable bacteria remains enigmatic. Here, we show that cells within individual filaments of cable bacteria display a remarkable dichotomy in biosynthesis that coincides with redox zonation. Nanoscale secondary ion mass spectrometry combined with </w:t>
      </w:r>
      <w:r w:rsidRPr="004443A9">
        <w:rPr>
          <w:vertAlign w:val="superscript"/>
        </w:rPr>
        <w:t>13</w:t>
      </w:r>
      <w:r w:rsidRPr="004443A9">
        <w:t xml:space="preserve">C (bicarbonate and propionate) and </w:t>
      </w:r>
      <w:r w:rsidRPr="004443A9">
        <w:rPr>
          <w:vertAlign w:val="superscript"/>
        </w:rPr>
        <w:t>15</w:t>
      </w:r>
      <w:r w:rsidRPr="004443A9">
        <w:t>N-ammonia isotope labeling reveals that cells performing sulfide oxidation in deeper anoxic horizons have a high assimilation rate, whereas cells performing oxygen reduction in the oxic zone show very little or no label uptake. Accordingly, oxygen reduction appears to merely function as a mechanism to quickly dispense of electrons with little to no energy conservation, while biosynthesis and growth are restricted to sulfide-respiring cells. Still, cells can immediately switch roles when redox conditions change, and show no differentiation, which suggests that the “community service” performed by the cells in the oxic zone is only temporary. Overall, our data reveal a division of labor and electrical cooperation among cells that has not been seen previously in multicellular organisms.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Ghalenavi, H., Norouzi-Apourvari, S., Schaffie, M., Ranjbar, M., </w:t>
      </w:r>
      <w:r w:rsidR="00616347">
        <w:t xml:space="preserve">2020. </w:t>
      </w:r>
      <w:r w:rsidRPr="004443A9">
        <w:t>Significant effect of compositional grading on SAGD performance in a fractured carbonate heavy oil reservoir. Journal of Petroleum Exploration and Production Technology 10, 903-910.</w:t>
      </w:r>
    </w:p>
    <w:p w:rsidR="00DB42FE" w:rsidRPr="004443A9" w:rsidRDefault="00DB42FE" w:rsidP="00616347">
      <w:pPr>
        <w:pStyle w:val="EndNoteBibliography"/>
        <w:ind w:left="360"/>
      </w:pPr>
      <w:r w:rsidRPr="004443A9">
        <w:t>https://doi.org/10.1007/s13202-019-00744-z</w:t>
      </w:r>
    </w:p>
    <w:p w:rsidR="00DB42FE" w:rsidRPr="004443A9" w:rsidRDefault="00DB42FE" w:rsidP="00616347">
      <w:pPr>
        <w:pStyle w:val="EndNoteBibliography"/>
        <w:spacing w:after="0"/>
        <w:ind w:left="360"/>
      </w:pPr>
      <w:r w:rsidRPr="004443A9">
        <w:t>In reservoir simulation, the fluid composition is usually assumed uniform for the whole reservoir, while in many reservoirs, oil and gas composition changes with depth. This phenomenon which is known as compositional grading could be significant in heavy and super heavy oil reservoirs. In these reservoirs, biodegradation and asphaltene precipitation are considered as the main reasons behind this phenomenon. Compositional grading in heavy oil reservoirs could affect fluid viscosity and vaporizing–condensing mechanism in steam-assisted gravity drainage (SAGD) operations. In this paper, through a simulation study, one of the Iranian heavy oil reservoirs which have a significant compositional grading was selected to investigate the effect of compositional grading on the performance of simulated SAGD method. The reservoir is a fractured carbonate reservoir, and its compositional grading is maintained because of the lack of convection inside the reservoir. To verify the importance of compositional grading, the performance results of the SAGD method for compositional grading case were compared with that of uniform composition case. The result showed that ignoring compositional grading would lead to underestimation of ultimate recovery in the fractured model. The study of SAGD process in a non-fractured reservoir model showed that considering compositional grading has an insignificant effect on SAGD performance.</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Giacomucci, L., Raddadi, N., Soccio, M., Lotti, N., Fava, F., </w:t>
      </w:r>
      <w:r w:rsidR="00616347">
        <w:t xml:space="preserve">2020. </w:t>
      </w:r>
      <w:r w:rsidRPr="004443A9">
        <w:t>Biodegradation of polyvinyl chloride plastic films by enriched anaerobic marine consortia. Marine Environmental Research 158, 104949.</w:t>
      </w:r>
    </w:p>
    <w:p w:rsidR="00DB42FE" w:rsidRPr="004443A9" w:rsidRDefault="00DB42FE" w:rsidP="00616347">
      <w:pPr>
        <w:pStyle w:val="EndNoteBibliography"/>
        <w:ind w:left="360"/>
      </w:pPr>
      <w:r w:rsidRPr="004443A9">
        <w:t>http://www.sciencedirect.com/science/article/pii/S014111361930813X</w:t>
      </w:r>
    </w:p>
    <w:p w:rsidR="00DB42FE" w:rsidRPr="004443A9" w:rsidRDefault="00DB42FE" w:rsidP="00616347">
      <w:pPr>
        <w:pStyle w:val="EndNoteBibliography"/>
        <w:ind w:left="360"/>
      </w:pPr>
      <w:r w:rsidRPr="004443A9">
        <w:lastRenderedPageBreak/>
        <w:t>Plastics remarkably contribute to marine litter, which is raising serious concerns. Currently, little is known about the fate of most plastics entering the marine environment and their potential biodegradation rate and extent under anoxic conditions.</w:t>
      </w:r>
    </w:p>
    <w:p w:rsidR="00DB42FE" w:rsidRPr="004443A9" w:rsidRDefault="00DB42FE" w:rsidP="00616347">
      <w:pPr>
        <w:pStyle w:val="EndNoteBibliography"/>
        <w:spacing w:after="0"/>
        <w:ind w:left="360"/>
      </w:pPr>
      <w:r w:rsidRPr="004443A9">
        <w:t>In this work, biodegradation of polyvinyl chloride (PVC) films by consortia enriched from marine samples (litter and water) was evaluated in anaerobic microcosms. After 7 months, three microcosms showed dense biofilms on plastic surfaces, gravimetric weight losses up to 11.7 ± 0.6%, marked decreases in thermal stability and average molecular weight of the polymer, suggesting microbial attack towards polymer chains. After 24 months, further three consortia showed the same abilities. Microbial communities analyzed at month 24 included taxa closely related to those previously reported as halogenated organic compounds degraders. The study is the first report on PVC biodegradation by marine anaerobic microbes and provides insights on potential biodegradation of the plastic film introduced into the sea by native microbes.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Gibson, G.M., Champion, D.C., Huston, D.L., Withnall, I.W., </w:t>
      </w:r>
      <w:r w:rsidR="00616347">
        <w:t xml:space="preserve">2020. </w:t>
      </w:r>
      <w:r w:rsidRPr="004443A9">
        <w:t>Orogenesis in paleo-Mesoproterozoic eastern Australia: A response to arc-continent and continent-continent collision during assembly of the Nuna supercontinent. Tectonics 39, e2019TC005717.</w:t>
      </w:r>
    </w:p>
    <w:p w:rsidR="00DB42FE" w:rsidRPr="004443A9" w:rsidRDefault="00DB42FE" w:rsidP="00616347">
      <w:pPr>
        <w:pStyle w:val="EndNoteBibliography"/>
        <w:ind w:left="360"/>
      </w:pPr>
      <w:r w:rsidRPr="004443A9">
        <w:t>https://doi.org/10.1029/2019TC005717</w:t>
      </w:r>
    </w:p>
    <w:p w:rsidR="00DB42FE" w:rsidRPr="004443A9" w:rsidRDefault="00DB42FE" w:rsidP="00616347">
      <w:pPr>
        <w:pStyle w:val="EndNoteBibliography"/>
        <w:spacing w:after="0"/>
        <w:ind w:left="360"/>
      </w:pPr>
      <w:r w:rsidRPr="004443A9">
        <w:t>Northern and southern Australia preserve a common record of 1790–1655 Ma intracontinental rifting and backarc extension culminating in formation of a marginal sea that subsequently collapsed following a 1650–1640 Ma reversal in plate motion and onset of arc‐continent collision. Arc‐continent collision was accompanied by intermediate‐pressure Barrovian‐type metamorphism (6–8 kb) and widespread crustal thickening as reflected in a clockwise pressure‐temperature‐time path. Later metamorphism during the 1620–1580 Ma Isa and Olary orogenies occurred under intrusion‐enhanced lower pressure conditions (4–6 kb) and followed a counterclockwise pressure‐temperature‐time path incompatible with either significant amounts of crustal thickening or tectonic models which have Australia and Laurentia commencing collision at this time. Continent‐continent collision more likely followed on closely behind arc‐continent collision (Riversleigh Tectonic Event), precipitating a switch in crustal shortening from northeast‐southwest to west‐east as the older rift template and underlying basement structures were reactivated in a transpressive or multicollisional tectonic regime not unlike that which produced the Himalayan‐Tibet orogenic system. As in the latter, ongoing collision was accommodated by thrusting, extensional collapse and lateral extrusion of still thermally weak crust on orogen‐parallel strike‐slip faults, resulting in formation of the west‐east‐striking Isa Superbasin, isothermal decompression and granite intrusion from 1620 Ma. A comparable record of deformation, metamorphism, and magmatic intrusion from 1650 until 1600 Ma has been documented for northern and southern North America (Forward/Racklan and Mazatzal orogenies) indicating that Laurentia and Australia were likely proximal to each other throughout this period.</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Glein, C.R., Zolotov, M.Y., </w:t>
      </w:r>
      <w:r w:rsidR="00616347">
        <w:t xml:space="preserve">2020. </w:t>
      </w:r>
      <w:r w:rsidRPr="004443A9">
        <w:t>Hydrogen, hydrocarbons, and habitability across the solar system. Elements 16, 47-52.</w:t>
      </w:r>
    </w:p>
    <w:p w:rsidR="00DB42FE" w:rsidRPr="004443A9" w:rsidRDefault="00DB42FE" w:rsidP="00616347">
      <w:pPr>
        <w:pStyle w:val="EndNoteBibliography"/>
        <w:ind w:left="360"/>
      </w:pPr>
      <w:r w:rsidRPr="004443A9">
        <w:t>https://doi.org/10.2138/gselements.16.1.47</w:t>
      </w:r>
    </w:p>
    <w:p w:rsidR="00DB42FE" w:rsidRPr="004443A9" w:rsidRDefault="00DB42FE" w:rsidP="00616347">
      <w:pPr>
        <w:pStyle w:val="EndNoteBibliography"/>
        <w:spacing w:after="0"/>
        <w:ind w:left="360"/>
      </w:pPr>
      <w:r w:rsidRPr="004443A9">
        <w:t xml:space="preserve">The ingredients to make an environment habitable (e.g., liquid water, chemical disequilibria, and organic molecules) are found throughout the solar system. Liquid water has existed transiently on </w:t>
      </w:r>
      <w:r w:rsidRPr="004443A9">
        <w:lastRenderedPageBreak/>
        <w:t>some bodies and persistently as oceans on others. Molecular hydrogen occurs in a plume on Saturn’s moon Enceladus. It can drive the reduction of CO</w:t>
      </w:r>
      <w:r w:rsidRPr="004443A9">
        <w:rPr>
          <w:vertAlign w:val="subscript"/>
        </w:rPr>
        <w:t>2</w:t>
      </w:r>
      <w:r w:rsidRPr="004443A9">
        <w:t xml:space="preserve"> to release energy. Methane has been observed in many places: from the dusty plains of Mars, to the great lakes of the Saturnian moon Titan, to the glacial wonderland that is Pluto. Organic molecules are common where volatile elements and reducing conditions prevail: these organic molecules can have diverse origins. Future space missions will attempt to illuminate the “organic solar system” and the role played by possible extraterrestrial life.</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Goldberg, M.H., Marlon, J.R., Wang, X., van der Linden, S., Leiserowitz, A., </w:t>
      </w:r>
      <w:r w:rsidR="00616347">
        <w:t xml:space="preserve">2020. </w:t>
      </w:r>
      <w:r w:rsidRPr="004443A9">
        <w:t>Oil and gas companies invest in legislators that vote against the environment. Proceedings of the National Academy of Sciences 117, 5111-5112.</w:t>
      </w:r>
    </w:p>
    <w:p w:rsidR="00DB42FE" w:rsidRPr="004443A9" w:rsidRDefault="00DB42FE" w:rsidP="00616347">
      <w:pPr>
        <w:pStyle w:val="EndNoteBibliography"/>
        <w:ind w:left="360"/>
      </w:pPr>
      <w:r w:rsidRPr="004443A9">
        <w:t>https://doi.org/10.1073/pnas.1922175117</w:t>
      </w:r>
    </w:p>
    <w:p w:rsidR="00DB42FE" w:rsidRPr="004443A9" w:rsidRDefault="00DB42FE" w:rsidP="00616347">
      <w:pPr>
        <w:pStyle w:val="EndNoteBibliography"/>
        <w:spacing w:after="0"/>
        <w:ind w:left="360"/>
      </w:pPr>
      <w:r w:rsidRPr="004443A9">
        <w:t>Do campaign contributions from oil and gas companies influence legislators to vote against the environment, or do these companies invest in legislators that have a proven antienvironmental voting record? Using 28 y of campaign contribution data, we find that evidence consistently supports the investment hypothesis: The more a given member of Congress votes against environmental policies, the more contributions they receive from oil and gas companies supporting their reelection.</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Gong, J., Myers, K.D., Munoz-Saez, C., Homann, M., Rouillard, J., Wirth, R., Schreiber, A., van Zuilen, M.A., </w:t>
      </w:r>
      <w:r w:rsidR="00616347">
        <w:t xml:space="preserve">2020. </w:t>
      </w:r>
      <w:r w:rsidRPr="004443A9">
        <w:t>Formation and preservation of microbial palisade fabric in silica deposits from El Tatio, Chile. Astrobiology 20, 500-524.</w:t>
      </w:r>
    </w:p>
    <w:p w:rsidR="00DB42FE" w:rsidRPr="004443A9" w:rsidRDefault="00DB42FE" w:rsidP="00616347">
      <w:pPr>
        <w:pStyle w:val="EndNoteBibliography"/>
        <w:ind w:left="360"/>
      </w:pPr>
      <w:r w:rsidRPr="004443A9">
        <w:t>https://doi.org/10.1089/ast.2019.2025</w:t>
      </w:r>
    </w:p>
    <w:p w:rsidR="00DB42FE" w:rsidRPr="004443A9" w:rsidRDefault="00DB42FE" w:rsidP="00616347">
      <w:pPr>
        <w:pStyle w:val="EndNoteBibliography"/>
        <w:spacing w:after="0"/>
        <w:ind w:left="360"/>
      </w:pPr>
      <w:r w:rsidRPr="004443A9">
        <w:t xml:space="preserve">Palisade fabric is a ubiquitous texture of silica sinter found in low temperature (&lt;40°C) regimes of hot spring environments, and it is formed when populations of filamentous microorganisms act as templates for silica polymerization. Although it is known that postdepositional processes such as biological degradation and dewatering can strongly affect preservation of these fabrics, the impact of extreme aridity has so far not been studied in detail. Here, we report a detailed analysis of recently silicified palisade fabrics from a geyser in El Tatio, Chile, tracing the progressive degradation of microorganisms within the silica matrix. This is complemented by heating experiments of natural sinter samples to assess the role of diagenesis. Sheathed cyanobacteria, identified as </w:t>
      </w:r>
      <w:r w:rsidRPr="004443A9">
        <w:rPr>
          <w:i/>
        </w:rPr>
        <w:t>Leptolyngbya</w:t>
      </w:r>
      <w:r w:rsidRPr="004443A9">
        <w:t xml:space="preserve"> sp., were found to be incorporated into silica sinter by irregular cycles of wetting, evaporation, and mineral precipitation. Transmission electron microscopy analyses revealed that nanometer-sized silica particles are filling the pore space within individual cyanobacterial sheaths, giving rise to their structural rigidity to sustain a palisade fabric framework. Diagenesis experiments further show that the sheaths of the filaments are preferentially preserved relative to the trichomes, and that the amount of water present within the sinter is an important factor for overall preservation during burial. This study confirms that palisade fabrics are efficiently generated in a highly evaporative geothermal field, and that these biosignatures can be most effectively preserved under dry diagenetic conditions. </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lastRenderedPageBreak/>
        <w:t xml:space="preserve">Goodwin, N.R.J., Abdullayev, N., Javadova, A., Volk, H., Riley, G., </w:t>
      </w:r>
      <w:r w:rsidR="00616347">
        <w:t xml:space="preserve">2020. </w:t>
      </w:r>
      <w:r w:rsidRPr="004443A9">
        <w:t>Diamondoids and basin modelling reveal one of the world's deepest petroleum systems, South Caspian Basin, Azerbaijan. Journal of Petroleum Geology 43, 133-149.</w:t>
      </w:r>
    </w:p>
    <w:p w:rsidR="00DB42FE" w:rsidRPr="004443A9" w:rsidRDefault="00DB42FE" w:rsidP="00616347">
      <w:pPr>
        <w:pStyle w:val="EndNoteBibliography"/>
        <w:ind w:left="360"/>
      </w:pPr>
      <w:r w:rsidRPr="004443A9">
        <w:t>https://doi.org/10.1111/jpg.12754</w:t>
      </w:r>
    </w:p>
    <w:p w:rsidR="00DB42FE" w:rsidRPr="004443A9" w:rsidRDefault="00DB42FE" w:rsidP="00616347">
      <w:pPr>
        <w:pStyle w:val="EndNoteBibliography"/>
        <w:ind w:left="360"/>
      </w:pPr>
      <w:r w:rsidRPr="004443A9">
        <w:t>The South Caspian Basin has been one of the world's most prolific petroleum provinces since the 19th Century. However, despite the large number of discovered petroleum accumulations, the source rock sequence has not been penetrated by the drill in the offshore basin and is therefore poorly defined. In this paper, geochemistry together with broad estimates of in‐place volumes of petroleum fluids, onshore outcrop data and basin modelling have been used to place constraints on the source rock description.</w:t>
      </w:r>
    </w:p>
    <w:p w:rsidR="00DB42FE" w:rsidRPr="004443A9" w:rsidRDefault="00DB42FE" w:rsidP="00616347">
      <w:pPr>
        <w:pStyle w:val="EndNoteBibliography"/>
        <w:ind w:left="360"/>
      </w:pPr>
      <w:r w:rsidRPr="004443A9">
        <w:t>Diamondoids, the most thermally stable group of hydrocarbons, have been measured in a suite of liquid petroleum samples from Pliocene fluvio‐deltaic sandstone reservoirs at the Shah Deniz gas‐condensate field and the Azeri‐Chirag‐Gunashli oil field, offshore Azerbaijan. Samples from both fields exhibit elevated concentrations of diamondoids and C</w:t>
      </w:r>
      <w:r w:rsidRPr="004443A9">
        <w:rPr>
          <w:vertAlign w:val="subscript"/>
        </w:rPr>
        <w:t>29</w:t>
      </w:r>
      <w:r w:rsidRPr="004443A9">
        <w:t xml:space="preserve"> steranes, indicating a mixture of thermally cracked and non‐cracked petroleum. We use diamondoid concentrations to estimate that 4.8 B brl of oil may have been cracked to 12 Tcf of gas below the Shah Deniz reservoirs. Source rock properties from the outcropping Oligocene – Miocene Maikop and Diatom Formations have been used to model source rock maturation. The results indicate that pre‐cracking volumes of petroleum could be explained reasonably by the presence of source rock intervals in the offshore that are of similar richness but increased thickness compared to measured onshore outcrops.</w:t>
      </w:r>
    </w:p>
    <w:p w:rsidR="00DB42FE" w:rsidRPr="004443A9" w:rsidRDefault="00DB42FE" w:rsidP="00616347">
      <w:pPr>
        <w:pStyle w:val="EndNoteBibliography"/>
        <w:spacing w:after="0"/>
        <w:ind w:left="360"/>
      </w:pPr>
      <w:r w:rsidRPr="004443A9">
        <w:t>Relatively high diamondoid concentrations in Shah Deniz condensate (up to 160 ppm 3‐ + 4‐methyldiamantanes) are in agreement with gas isotope compositions (δ</w:t>
      </w:r>
      <w:r w:rsidRPr="004443A9">
        <w:rPr>
          <w:vertAlign w:val="superscript"/>
        </w:rPr>
        <w:t>13</w:t>
      </w:r>
      <w:r w:rsidRPr="004443A9">
        <w:t>C</w:t>
      </w:r>
      <w:r w:rsidRPr="004443A9">
        <w:rPr>
          <w:vertAlign w:val="subscript"/>
        </w:rPr>
        <w:t>1</w:t>
      </w:r>
      <w:r w:rsidRPr="004443A9">
        <w:t xml:space="preserve"> – δ</w:t>
      </w:r>
      <w:r w:rsidRPr="004443A9">
        <w:rPr>
          <w:vertAlign w:val="superscript"/>
        </w:rPr>
        <w:t>13</w:t>
      </w:r>
      <w:r w:rsidRPr="004443A9">
        <w:t>C</w:t>
      </w:r>
      <w:r w:rsidRPr="004443A9">
        <w:rPr>
          <w:vertAlign w:val="subscript"/>
        </w:rPr>
        <w:t>3</w:t>
      </w:r>
      <w:r w:rsidRPr="004443A9">
        <w:t>) with respect to thermal maturity. Both parameters indicate the presence of source rock that is at a high level of thermal maturity at a vitrinite reflectance equivalent (VRE) of ca. 1.5–2.0% R</w:t>
      </w:r>
      <w:r w:rsidRPr="004443A9">
        <w:rPr>
          <w:vertAlign w:val="subscript"/>
        </w:rPr>
        <w:t>o</w:t>
      </w:r>
      <w:r w:rsidRPr="004443A9">
        <w:t>. Given the low geothermal gradients in the South Caspian Basin (16 – 17°C/km at Shah Deniz) and the relatively high temperatures required for maturation due to rapid, relatively recent burial and heating, the source rock must be buried to depths in excess of 13 km in the Shah Deniz drainage area. In the absence of any evidence of a working Mesozoic petroleum system in the South Caspian Basin, this depth of burial highlights the significant thickness of Paleogene sediments in the offshore basin. Of prolific petroleum‐producing basins, only in the deep‐water Gulf of Mexico are actively‐generating source rocks buried to similar depths.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Gorter, F.A., Manhart, M., Ackermann, M., </w:t>
      </w:r>
      <w:r w:rsidR="00616347">
        <w:t xml:space="preserve">2020. </w:t>
      </w:r>
      <w:r w:rsidRPr="004443A9">
        <w:t>Understanding the evolution of interspecies interactions in microbial communities. Philosophical Transactions of the Royal Society B: Biological Sciences 375, 20190256.</w:t>
      </w:r>
    </w:p>
    <w:p w:rsidR="00DB42FE" w:rsidRPr="004443A9" w:rsidRDefault="00DB42FE" w:rsidP="00616347">
      <w:pPr>
        <w:pStyle w:val="EndNoteBibliography"/>
        <w:ind w:left="360"/>
      </w:pPr>
      <w:r w:rsidRPr="004443A9">
        <w:t>https://doi.org/10.1098/rstb.2019.0256</w:t>
      </w:r>
    </w:p>
    <w:p w:rsidR="00DB42FE" w:rsidRPr="004443A9" w:rsidRDefault="00DB42FE" w:rsidP="00616347">
      <w:pPr>
        <w:pStyle w:val="EndNoteBibliography"/>
        <w:spacing w:after="0"/>
        <w:ind w:left="360"/>
      </w:pPr>
      <w:r w:rsidRPr="004443A9">
        <w:t xml:space="preserve">Microbial communities are complex multi-species assemblages that are characterized by a multitude of interspecies interactions, which can range from mutualism to competition. The overall sign and strength of interspecies interactions have important consequences for emergent community-level properties such as productivity and stability. It is not well understood how interspecies interactions change over evolutionary timescales. Here, we review the empirical evidence that evolution is an important driver of microbial community properties and dynamics on timescales that have traditionally been regarded as purely ecological. Next, we briefly discuss different modelling </w:t>
      </w:r>
      <w:r w:rsidRPr="004443A9">
        <w:lastRenderedPageBreak/>
        <w:t>approaches to study evolution of communities, emphasizing the similarities and differences between evolutionary and ecological perspectives. We then propose a simple conceptual model for the evolution of interspecies interactions in communities. Specifically, we propose that to understand the evolution of interspecies interactions, it is important to distinguish between direct and indirect fitness effects of a mutation. We predict that in well-mixed environments, traits will be selected exclusively for their direct fitness effects, while in spatially structured environments, traits may also be selected for their indirect fitness effects. Selection of indirectly beneficial traits should result in an increase in interaction strength over time, while selection of directly beneficial traits should not have such a systematic effect. We tested our intuitions using a simple quantitative model and found support for our hypotheses. The next step will be to test these hypotheses experimentally and provide input for a more refined version of the model in turn, thus closing the scientific cycle of models and experiments.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Goyon, A., Dai, L., Chen, T., Wei, B., Yang, F., Andersen, N., Kopf, R., Leiss, M., Mølhøj, M., Guillarme, D., Stella, C., </w:t>
      </w:r>
      <w:r w:rsidR="00616347">
        <w:t xml:space="preserve">2020. </w:t>
      </w:r>
      <w:r w:rsidRPr="004443A9">
        <w:t>From proof of concept to the routine use of an automated and robust multi-dimensional liquid chromatography mass spectrometry workflow applied for the charge variant characterization of therapeutic antibodies. Journal of Chromatography A 1615, 460740.</w:t>
      </w:r>
    </w:p>
    <w:p w:rsidR="00DB42FE" w:rsidRPr="004443A9" w:rsidRDefault="00DB42FE" w:rsidP="00616347">
      <w:pPr>
        <w:pStyle w:val="EndNoteBibliography"/>
        <w:ind w:left="360"/>
      </w:pPr>
      <w:r w:rsidRPr="004443A9">
        <w:t>http://www.sciencedirect.com/science/article/pii/S0021967319311720</w:t>
      </w:r>
    </w:p>
    <w:p w:rsidR="00DB42FE" w:rsidRPr="004443A9" w:rsidRDefault="00DB42FE" w:rsidP="00616347">
      <w:pPr>
        <w:pStyle w:val="EndNoteBibliography"/>
        <w:spacing w:after="0"/>
        <w:ind w:left="360"/>
      </w:pPr>
      <w:r w:rsidRPr="004443A9">
        <w:t xml:space="preserve">The identification and quantification of post-translational modifications (PTMs) is a crucial step required during the development of therapeutic proteins. In particular, the characterization of charge variants separated by cation exchange chromatography (CEX) is a tedious process commonly performed with an off-line manual fraction collection followed by peptide mapping. To improve the efficiency of this time-consuming approach, a generic on-line multi-dimensional LC/MS approach was developed for the characterization of various monoclonal antibody (mAb) isotypes and a bi-specific antibody (BsAb). Fractions collected from </w:t>
      </w:r>
      <w:r w:rsidRPr="004443A9">
        <w:rPr>
          <w:vertAlign w:val="superscript"/>
        </w:rPr>
        <w:t>1</w:t>
      </w:r>
      <w:r w:rsidRPr="004443A9">
        <w:t xml:space="preserve">D CEX analysis were consecutively reduced on a </w:t>
      </w:r>
      <w:r w:rsidRPr="004443A9">
        <w:rPr>
          <w:vertAlign w:val="superscript"/>
        </w:rPr>
        <w:t>2</w:t>
      </w:r>
      <w:r w:rsidRPr="004443A9">
        <w:t xml:space="preserve">D reversed phase liquid chromatography (RPLC) column (polyphenyl), digested within 1–2 min using a </w:t>
      </w:r>
      <w:r w:rsidRPr="004443A9">
        <w:rPr>
          <w:vertAlign w:val="superscript"/>
        </w:rPr>
        <w:t>3</w:t>
      </w:r>
      <w:r w:rsidRPr="004443A9">
        <w:t xml:space="preserve">D immobilized trypsin cartridge, and finally the obtained peptides were separated on another </w:t>
      </w:r>
      <w:r w:rsidRPr="004443A9">
        <w:rPr>
          <w:vertAlign w:val="superscript"/>
        </w:rPr>
        <w:t>4</w:t>
      </w:r>
      <w:r w:rsidRPr="004443A9">
        <w:t xml:space="preserve">D RPLC column (C18), and simultaneously identified with a Q Exactive™ mass spectrometer. </w:t>
      </w:r>
      <w:r w:rsidRPr="004443A9">
        <w:rPr>
          <w:vertAlign w:val="superscript"/>
        </w:rPr>
        <w:t>2</w:t>
      </w:r>
      <w:r w:rsidRPr="004443A9">
        <w:t xml:space="preserve">D RPLC columns and </w:t>
      </w:r>
      <w:r w:rsidRPr="004443A9">
        <w:rPr>
          <w:vertAlign w:val="superscript"/>
        </w:rPr>
        <w:t>3</w:t>
      </w:r>
      <w:r w:rsidRPr="004443A9">
        <w:t xml:space="preserve">D trypsin cartridges from different suppliers were compared, as well as the effects of reducing agents. The effect of </w:t>
      </w:r>
      <w:r w:rsidRPr="004443A9">
        <w:rPr>
          <w:vertAlign w:val="superscript"/>
        </w:rPr>
        <w:t>2</w:t>
      </w:r>
      <w:r w:rsidRPr="004443A9">
        <w:t xml:space="preserve">D and </w:t>
      </w:r>
      <w:r w:rsidRPr="004443A9">
        <w:rPr>
          <w:vertAlign w:val="superscript"/>
        </w:rPr>
        <w:t>4</w:t>
      </w:r>
      <w:r w:rsidRPr="004443A9">
        <w:t xml:space="preserve">D RPLC column temperature, and </w:t>
      </w:r>
      <w:r w:rsidRPr="004443A9">
        <w:rPr>
          <w:vertAlign w:val="superscript"/>
        </w:rPr>
        <w:t>2</w:t>
      </w:r>
      <w:r w:rsidRPr="004443A9">
        <w:t>D RPLC column mass load were also systematically studied. Under optimal conditions, the multi-dimensional LC/MS system described in this paper is a robust tool for the on-line digestion of proteins and shows high repeatability. Similar levels of oxidation and deamidation were measured using the off-line and on-line approaches for the same stressed samples. The lower amounts of deamidation and isomerization measured at some asparagine and aspartic acid residues by the on-line approach compared to the manual off-line procedure suggest reduced artifacts using the on-line methodology. The multi-dimensional LC/MS described here enables fast, on-line, automated characterization of therapeutic antibodies without the need for off-line fraction collection and sample pre-treatment (manual approach). The entire workflow can be completed within less than one day, compared to weeks with the manual off-line procedure.</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Granja-Travez, R.S., Persinoti, G.F., Squina, F.M., Bugg, T.D.H., </w:t>
      </w:r>
      <w:r w:rsidR="00616347">
        <w:t xml:space="preserve">2020. </w:t>
      </w:r>
      <w:r w:rsidRPr="004443A9">
        <w:t>Functional genomic analysis of bacterial lignin degraders: diversity in mechanisms of lignin oxidation and metabolism. Applied Microbiology and Biotechnology 104, 3305-3320.</w:t>
      </w:r>
    </w:p>
    <w:p w:rsidR="00DB42FE" w:rsidRPr="004443A9" w:rsidRDefault="00DB42FE" w:rsidP="00616347">
      <w:pPr>
        <w:pStyle w:val="EndNoteBibliography"/>
        <w:ind w:left="360"/>
      </w:pPr>
      <w:r w:rsidRPr="004443A9">
        <w:lastRenderedPageBreak/>
        <w:t>https://doi.org/10.1007/s00253-019-10318-y</w:t>
      </w:r>
    </w:p>
    <w:p w:rsidR="00DB42FE" w:rsidRPr="004443A9" w:rsidRDefault="00DB42FE" w:rsidP="00616347">
      <w:pPr>
        <w:pStyle w:val="EndNoteBibliography"/>
        <w:spacing w:after="0"/>
        <w:ind w:left="360"/>
      </w:pPr>
      <w:r w:rsidRPr="004443A9">
        <w:t xml:space="preserve">Although several bacterial lignin-oxidising enzymes have been discovered in recent years, it is not yet clear whether different lignin-degrading bacteria use similar mechanisms for lignin oxidation and degradation of lignin fragments. Genome sequences of 13 bacterial lignin-oxidising bacteria, including new genome sequences for </w:t>
      </w:r>
      <w:r w:rsidRPr="004443A9">
        <w:rPr>
          <w:i/>
        </w:rPr>
        <w:t>Microbacterium phyllosphaerae</w:t>
      </w:r>
      <w:r w:rsidRPr="004443A9">
        <w:t xml:space="preserve"> and </w:t>
      </w:r>
      <w:r w:rsidRPr="004443A9">
        <w:rPr>
          <w:i/>
        </w:rPr>
        <w:t>Agrobacterium sp</w:t>
      </w:r>
      <w:r w:rsidRPr="004443A9">
        <w:t>., were analysed for the presence of lignin-oxidising enzymes and aromatic degradation gene clusters that could be used to metabolise the products of lignin degradation. Ten bacterial genomes contain DyP-type peroxidases, and ten bacterial strains contain putative multi-copper oxidases (MCOs), both known to have activity for lignin oxidation. Only one strain lacks both MCOs and DyP-type peroxidase genes. Eleven bacterial genomes contain aromatic degradation gene clusters, of which ten contain the central β-ketoadipate pathway, with variable numbers and types of degradation clusters for other aromatic substrates. Hence, there appear to be diverse metabolic strategies used for lignin oxidation in bacteria, while the β-ketoadipate pathway appears to be the most common route for aromatic metabolism in lignin-degrading bacteria.</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Groeneveld, M., Catalán, N., Attermeyer, K., Hawkes, J., Einarsdóttir, K., Kothawala, D., Bergquist, J., Tranvik, L., </w:t>
      </w:r>
      <w:r w:rsidR="00616347">
        <w:t xml:space="preserve">2020. </w:t>
      </w:r>
      <w:r w:rsidRPr="004443A9">
        <w:t>Selective adsorption of terrestrial dissolved organic matter to inorganic surfaces along a boreal inland water continuum. Journal of Geophysical Research: Biogeosciences 125, e2019JG005236.</w:t>
      </w:r>
    </w:p>
    <w:p w:rsidR="00DB42FE" w:rsidRPr="004443A9" w:rsidRDefault="00DB42FE" w:rsidP="00616347">
      <w:pPr>
        <w:pStyle w:val="EndNoteBibliography"/>
        <w:ind w:left="360"/>
      </w:pPr>
      <w:r w:rsidRPr="004443A9">
        <w:t>https://doi.org/10.1029/2019JG005236</w:t>
      </w:r>
    </w:p>
    <w:p w:rsidR="00DB42FE" w:rsidRPr="004443A9" w:rsidRDefault="00DB42FE" w:rsidP="00616347">
      <w:pPr>
        <w:pStyle w:val="EndNoteBibliography"/>
        <w:ind w:left="360"/>
      </w:pPr>
      <w:r w:rsidRPr="004443A9">
        <w:t>Abstract: Different processes contribute to the loss or transformation of dissolved organic matter (DOM) and change DOM concentration and composition systematically along the inland water continuum. Substantial efforts have been made to estimate the importance of microbial and photochemical degradation for DOM concentration and composition and, to some extent, also DOM losses by flocculation, whereas the significance of DOM adsorption to inorganic surfaces has received less attention. Hence, knowledge on the possible extent of adsorption, its effect on DOM loads and composition and on where along the aquatic continuum it might be important, is currently limited or lacking altogether. Here we experimentally determine DOM adsorption onto mineral particles in freshwater ecosystems covering a water residence time gradient in boreal landscape Sweden. We hypothesized that adsorption would gradually decrease with increasing water residence time but actually found that DOM is highly susceptible to adsorption throughout the aquatic continuum. Mass spectrometry and fluorescence analysis on DOM suggest that freshly produced aquatic DOM is less susceptible to adsorption than more terrestrial material. Moreover, the percentage DOM adsorbed in the experiments greatly exceeds the actual adsorption taking place in boreal inland waters across all studied systems. These results illustrate the potential impact of mineral erosion, for example, as a result of agriculture, mining or forestry practices, on the availability, transport, and composition of organic carbon in inland waters.</w:t>
      </w:r>
    </w:p>
    <w:p w:rsidR="00DB42FE" w:rsidRPr="004443A9" w:rsidRDefault="00DB42FE" w:rsidP="00616347">
      <w:pPr>
        <w:pStyle w:val="EndNoteBibliography"/>
        <w:spacing w:after="0"/>
        <w:ind w:left="360"/>
      </w:pPr>
      <w:r w:rsidRPr="004443A9">
        <w:t xml:space="preserve">Plain Language Summary: Freshwaters are an important part of the global carbon cycle. They produce organic matter internally and receive large amounts of organic matter from the surrounding land. Within freshwaters, organic matter can be transported to the ocean, converted to carbon dioxide and methane, or buried in the sediment, depending on the chemical composition of the organic molecules and environmental conditions. One pathway toward burial is adsorption onto inorganic particles, such as clay, that may have entered the water by erosion. In this study, we added clay particles to 30 water samples collected throughout Sweden, from peats to very large </w:t>
      </w:r>
      <w:r w:rsidRPr="004443A9">
        <w:lastRenderedPageBreak/>
        <w:t>lakes. We found that a large part of the organic matter could be adsorbed onto the clay and that molecules derived from land‐vegetation are more likely to be adsorbed than molecules produced in the water. As a result, adsorption to clay changes the composition of the organic matter in the water. We observed that the potential for adsorption exceeds the adsorption actually taking place in most natural systems. This implies that introduction of minerals by erosion, for example, as a result of agriculture, mining, or forestry practices, could affect the composition of organic matter and thereby its fate in the carbon cycle.</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Guo, J., Glendell, M., Meersmans, J., Kirkels, F., Middelburg, J.J., Peterse, F., </w:t>
      </w:r>
      <w:r w:rsidR="00616347">
        <w:t xml:space="preserve">2020. </w:t>
      </w:r>
      <w:r w:rsidRPr="004443A9">
        <w:t>Assessing branched tetraether lipids as tracers of soil organic carbon transport through the Carminowe Creek catchment (southwest England). Biogeosciences Discussions 2020, 1-29.</w:t>
      </w:r>
    </w:p>
    <w:p w:rsidR="00DB42FE" w:rsidRPr="004443A9" w:rsidRDefault="00DB42FE" w:rsidP="00616347">
      <w:pPr>
        <w:pStyle w:val="EndNoteBibliography"/>
        <w:ind w:left="360"/>
      </w:pPr>
      <w:r w:rsidRPr="004443A9">
        <w:t>https://www.biogeosciences-discuss.net/bg-2019-500/</w:t>
      </w:r>
    </w:p>
    <w:p w:rsidR="00DB42FE" w:rsidRPr="004443A9" w:rsidRDefault="00DB42FE" w:rsidP="00616347">
      <w:pPr>
        <w:pStyle w:val="EndNoteBibliography"/>
        <w:spacing w:after="0"/>
        <w:ind w:left="360"/>
      </w:pPr>
      <w:r w:rsidRPr="004443A9">
        <w:t>Soils represent the largest reservoir of organic carbon (OC) on land. Upon mobilization, this OC is either returned to the atmosphere as carbon dioxide (CO</w:t>
      </w:r>
      <w:r w:rsidRPr="004443A9">
        <w:rPr>
          <w:vertAlign w:val="subscript"/>
        </w:rPr>
        <w:t>2</w:t>
      </w:r>
      <w:r w:rsidRPr="004443A9">
        <w:t>), or transported and ultimately locked into (marine) sediments, where it will act as a long-term sink of atmospheric CO</w:t>
      </w:r>
      <w:r w:rsidRPr="004443A9">
        <w:rPr>
          <w:vertAlign w:val="subscript"/>
        </w:rPr>
        <w:t>2</w:t>
      </w:r>
      <w:r w:rsidRPr="004443A9">
        <w:t>. These fluxes of soil OC are, however, poorly quantified, mostly due to the lack of a soil-specific tracer. In this study, a suite of branched glycerol dialkyl glycerol tetraethers (brGDGTs), which are membrane lipids of soil bacteria, is tested as specific tracers for soil OC from source (soils under arable land, ley, grassland and woodland) to sink (Lake Loe Pool sediments) considering a small catchment located in southwest England (i.e. Carminowe Creek draining into Lake Loe Pool). The analysis of brGDGTs in catchment soils reveals that their distribution is not significantly different across different land use types (</w:t>
      </w:r>
      <w:r w:rsidRPr="004443A9">
        <w:rPr>
          <w:i/>
        </w:rPr>
        <w:t>p</w:t>
      </w:r>
      <w:r w:rsidRPr="004443A9">
        <w:t xml:space="preserve"> &gt; 0.05), and thus does not allow tracing land use-specific soil contributions to Lake Loe Pool sediments. Furthermore, the significantly higher contribution of 6-methyl brGDGT isomers in creek sediments (isomerization ratio (IR) = 0.48 ± 0.10; mean ± s.d., standard deviation; </w:t>
      </w:r>
      <w:r w:rsidRPr="004443A9">
        <w:rPr>
          <w:i/>
        </w:rPr>
        <w:t>p</w:t>
      </w:r>
      <w:r w:rsidRPr="004443A9">
        <w:t> &lt; 0.05) compared to that in catchment soils (IR = 0.28 ± 0.11) indicates that the initial soil signal is substantially altered by brGDGT produced in situ. Similarly, the riverine brGDGT signal appears to be overwritten by lacustrine brGDGTs in the lake sedimentary record, indicated by remarkably lower Methylation of Branched Tetraethers (MBT'</w:t>
      </w:r>
      <w:r w:rsidRPr="004443A9">
        <w:rPr>
          <w:vertAlign w:val="subscript"/>
        </w:rPr>
        <w:t>5ME</w:t>
      </w:r>
      <w:r w:rsidRPr="004443A9">
        <w:t xml:space="preserve"> = 0.46 ± 0.02 in creek bed sediment and 0.38 ± 0.01 in lake core sediment; </w:t>
      </w:r>
      <w:r w:rsidRPr="004443A9">
        <w:rPr>
          <w:i/>
        </w:rPr>
        <w:t>p</w:t>
      </w:r>
      <w:r w:rsidRPr="004443A9">
        <w:t> &lt; 0.05) and higher Degree of Cyclization (DC = 0.23 ± 0.02 in creek bed sediment and 0.32 ± 0.08 in lake core sediment). Thus, in this small catchment, brGDGTs do not allow us to trace soil OC transport. Nevertheless, the downcore changes in the degree of cyclization and the abundance of isoprenoid GDGTs produced by methanogens in the Lake Loe Pool sediment do reflect local environmental conditions over the past 100 years, and have recorded the eutrophication history of the lake.</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Guo, Q., Littke, R., Sun, Y., Zieger, L., </w:t>
      </w:r>
      <w:r w:rsidR="00616347">
        <w:t xml:space="preserve">2020. </w:t>
      </w:r>
      <w:r w:rsidRPr="004443A9">
        <w:t>Depositional history of low-mature coals from the Puyang Basin, Yunnan Province, China. International Journal of Coal Geology 221, 103428.</w:t>
      </w:r>
    </w:p>
    <w:p w:rsidR="00DB42FE" w:rsidRPr="004443A9" w:rsidRDefault="00DB42FE" w:rsidP="00616347">
      <w:pPr>
        <w:pStyle w:val="EndNoteBibliography"/>
        <w:ind w:left="360"/>
      </w:pPr>
      <w:r w:rsidRPr="004443A9">
        <w:t>http://www.sciencedirect.com/science/article/pii/S0166516219312005</w:t>
      </w:r>
    </w:p>
    <w:p w:rsidR="00DB42FE" w:rsidRPr="004443A9" w:rsidRDefault="00DB42FE" w:rsidP="00616347">
      <w:pPr>
        <w:pStyle w:val="EndNoteBibliography"/>
        <w:ind w:left="360"/>
      </w:pPr>
      <w:r w:rsidRPr="004443A9">
        <w:t xml:space="preserve">Late Miocene samples from the Xiaolongtan Formation in Puyang Basin were sampled systematically from bottom to top of the main coal seam. Organic petrological as well as geochemical methods have been applied, aiming at the reconstruction of the depositional environment. The studied samples contain abundant detrovitrinite and liptinite macerals with high ash but low to moderate sulfur contents. This data indicates that the samples were deposited in topogenic mires without </w:t>
      </w:r>
      <w:r w:rsidRPr="004443A9">
        <w:lastRenderedPageBreak/>
        <w:t>marine influence, but with fluctuations of water table and/or water influx which are mirrored by ash and sulfur content. The low values of tissue preservation and vegetation index, but high values of gelification index and groundwater index (GWI</w:t>
      </w:r>
      <w:r w:rsidRPr="004443A9">
        <w:rPr>
          <w:vertAlign w:val="subscript"/>
        </w:rPr>
        <w:t>AC</w:t>
      </w:r>
      <w:r w:rsidRPr="004443A9">
        <w:t>) in the studied coal imply a peat accumulation in inundated marshes under slightly oxic to anoxic depositional conditions with input of herbaceous plants mainly. An extended data set on vitrinite reflectance, volatile matter, Rock-Eval T</w:t>
      </w:r>
      <w:r w:rsidRPr="004443A9">
        <w:rPr>
          <w:vertAlign w:val="subscript"/>
        </w:rPr>
        <w:t>max</w:t>
      </w:r>
      <w:r w:rsidRPr="004443A9">
        <w:t xml:space="preserve"> and HI suggests a coalification ranging from subbituminous C to B coal.</w:t>
      </w:r>
    </w:p>
    <w:p w:rsidR="00DB42FE" w:rsidRPr="004443A9" w:rsidRDefault="00DB42FE" w:rsidP="00616347">
      <w:pPr>
        <w:pStyle w:val="EndNoteBibliography"/>
        <w:spacing w:after="0"/>
        <w:ind w:left="360"/>
      </w:pPr>
      <w:r w:rsidRPr="004443A9">
        <w:t xml:space="preserve">The high concentration of long chain </w:t>
      </w:r>
      <w:r w:rsidRPr="004443A9">
        <w:rPr>
          <w:i/>
        </w:rPr>
        <w:t>n</w:t>
      </w:r>
      <w:r w:rsidRPr="004443A9">
        <w:t>-alkanes in the studied samples is typical for kerogen derived predominately from higher terrestrial plants. The applied biomarker ratios together with the detected hopenes further confirm the low thermal maturity level, as well as high water table and terrestrial organic matter input during peat accumulation. The variable concentrations of terpenoids and sesquiterpenoids suggest a dominant angiosperm input, but with a relatively high proportion of gymnosperms during some periods of peat deposition.</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Guo, Y., Wang, L., Chang, X., Zhou, J., Zhang, X., </w:t>
      </w:r>
      <w:r w:rsidR="00616347">
        <w:t xml:space="preserve">2020. </w:t>
      </w:r>
      <w:r w:rsidRPr="004443A9">
        <w:t>Study on fracture morphological characteristics of refracturing for Longmaxi Shale Formation. Geofluids 2020, 1628431.</w:t>
      </w:r>
    </w:p>
    <w:p w:rsidR="00DB42FE" w:rsidRPr="004443A9" w:rsidRDefault="00DB42FE" w:rsidP="00616347">
      <w:pPr>
        <w:pStyle w:val="EndNoteBibliography"/>
        <w:ind w:left="360"/>
      </w:pPr>
      <w:r w:rsidRPr="004443A9">
        <w:t>https://doi.org/10.1155/2020/1628431</w:t>
      </w:r>
    </w:p>
    <w:p w:rsidR="00DB42FE" w:rsidRPr="004443A9" w:rsidRDefault="00DB42FE" w:rsidP="00616347">
      <w:pPr>
        <w:pStyle w:val="EndNoteBibliography"/>
        <w:spacing w:after="0"/>
        <w:ind w:left="360"/>
      </w:pPr>
      <w:r w:rsidRPr="004443A9">
        <w:t>Refracturing technology has become an important means for the regeneration of old wells reconstruction. It is of great significance to understand the formation mechanism of hydraulic fracturing fracture for the design of hydraulic fracturing. In order to accurately evaluate and improve fracturing volume after refracturing, it is necessary to understand the mechanism of refracturing fracture in shale formation. In this paper, a true triaxial refracturing test method was established. A series of large-scale true triaxial fracturing experiments were carried out to characterize the refracturing fracture initiation and propagation. The results show that for shale reservoirs with weak bedding planes and natural fractures, hydraulic fracturing can not only form the main fracturing fracture, which is perpendicular to horizontal minimum principal stress, but it can also open weak bedding plane or natural fractures. The characteristics of fracturing pump curve indicated that the evolution of fracturing fractures, including initiation and propagation and communication of multiple fractures. The violent fluctuation of fracturing pump pressure curve indicates that the sample has undergone multiple fracturing fractures. The result of refracturing shows that initial fracturing fracture channels can be effectively closed by temporary plugging. The refracturing breakdown pressure is generally slightly higher than that of initial fracturing. After temporary plugging, under the influence of stress induced by the initial fracturing fracture, the propagation path of the refracturing fracture is deviated. When the new fracturing fracture communicates with the initial fracturing fracture, the original fracturing fracture can continue to expand and extend, increasing the range of the fracturing modifications. The refracturing test results was shown that for shale reservoir with simple initial fracturing fractures, the complexity fracturing fracture can be increased by refracturing after temporary plugging initial fractures. The effect of refracturing is not obvious for the reservoir with complex initial fracturing fractures. This research results can provide a reliable basis for optimizing refracturing design in shale gas reservoir.</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Haig, J., Ascough, P.L., Wurster, C.M., Bird, M.I., </w:t>
      </w:r>
      <w:r w:rsidR="00616347">
        <w:t xml:space="preserve">2020. </w:t>
      </w:r>
      <w:r w:rsidRPr="004443A9">
        <w:t>A rapid throughput technique to isolate pyrogenic carbon by hydrogen pyrolysis for stable isotope and radiocarbon analysis. Rapid Communications in Mass Spectrometry 34, e8737.</w:t>
      </w:r>
    </w:p>
    <w:p w:rsidR="00DB42FE" w:rsidRPr="004443A9" w:rsidRDefault="00DB42FE" w:rsidP="00616347">
      <w:pPr>
        <w:pStyle w:val="EndNoteBibliography"/>
        <w:ind w:left="360"/>
      </w:pPr>
      <w:r w:rsidRPr="004443A9">
        <w:lastRenderedPageBreak/>
        <w:t>https://doi.org/10.1002/rcm.8737</w:t>
      </w:r>
    </w:p>
    <w:p w:rsidR="00DB42FE" w:rsidRPr="004443A9" w:rsidRDefault="00DB42FE" w:rsidP="00616347">
      <w:pPr>
        <w:pStyle w:val="EndNoteBibliography"/>
        <w:ind w:left="360"/>
      </w:pPr>
      <w:r w:rsidRPr="004443A9">
        <w:t>Rationale: Rapid, reliable isolation of pyrogenic carbon (PyC; also known as char, soot, black carbon, or biochar) for the determination of stable carbon isotope (</w:t>
      </w:r>
      <w:r w:rsidRPr="004443A9">
        <w:rPr>
          <w:i/>
        </w:rPr>
        <w:t>δ</w:t>
      </w:r>
      <w:r w:rsidRPr="004443A9">
        <w:rPr>
          <w:vertAlign w:val="superscript"/>
        </w:rPr>
        <w:t>13</w:t>
      </w:r>
      <w:r w:rsidRPr="004443A9">
        <w:t>C) composition and radiocarbon (</w:t>
      </w:r>
      <w:r w:rsidRPr="004443A9">
        <w:rPr>
          <w:vertAlign w:val="superscript"/>
        </w:rPr>
        <w:t>14</w:t>
      </w:r>
      <w:r w:rsidRPr="004443A9">
        <w:t xml:space="preserve">C) dating is needed across multiple fields of research in geoscience, environmental science and archaeology. Many current techniques do not provide reliable isolation from contaminating organics and/or are relatively time‐consuming. Hydrogen pyrolysis (HyPy) does provide reliable isolation of PyC, but the current methodology is time consuming. </w:t>
      </w:r>
    </w:p>
    <w:p w:rsidR="00DB42FE" w:rsidRPr="004443A9" w:rsidRDefault="00DB42FE" w:rsidP="00616347">
      <w:pPr>
        <w:pStyle w:val="EndNoteBibliography"/>
        <w:ind w:left="360"/>
      </w:pPr>
      <w:r w:rsidRPr="004443A9">
        <w:t xml:space="preserve">Methods: We explored the potential for subjecting multiple samples to HyPy analysis by placing up to nine individual samples in custom‐designed borosilicate sample vessels in a single reactor run. We tested for cross‐contamination between samples in the same run using materials with highly divergent radiocarbon activities (~0.04–116.3 pMC), </w:t>
      </w:r>
      <w:r w:rsidRPr="004443A9">
        <w:rPr>
          <w:i/>
        </w:rPr>
        <w:t>δ</w:t>
      </w:r>
      <w:r w:rsidRPr="004443A9">
        <w:rPr>
          <w:vertAlign w:val="superscript"/>
        </w:rPr>
        <w:t>13</w:t>
      </w:r>
      <w:r w:rsidRPr="004443A9">
        <w:t xml:space="preserve">C values (−11.9 to −26.5‰) and labile carbon content. We determined </w:t>
      </w:r>
      <w:r w:rsidRPr="004443A9">
        <w:rPr>
          <w:vertAlign w:val="superscript"/>
        </w:rPr>
        <w:t>14</w:t>
      </w:r>
      <w:r w:rsidRPr="004443A9">
        <w:t>C/</w:t>
      </w:r>
      <w:r w:rsidRPr="004443A9">
        <w:rPr>
          <w:vertAlign w:val="superscript"/>
        </w:rPr>
        <w:t>13</w:t>
      </w:r>
      <w:r w:rsidRPr="004443A9">
        <w:t xml:space="preserve">C using accelerator mass spectrometry and </w:t>
      </w:r>
      <w:r w:rsidRPr="004443A9">
        <w:rPr>
          <w:i/>
        </w:rPr>
        <w:t>δ</w:t>
      </w:r>
      <w:r w:rsidRPr="004443A9">
        <w:rPr>
          <w:vertAlign w:val="superscript"/>
        </w:rPr>
        <w:t>13</w:t>
      </w:r>
      <w:r w:rsidRPr="004443A9">
        <w:t xml:space="preserve">C values using an elemental analyser coupled to a continuous flow isotope ratio mass spectrometer. </w:t>
      </w:r>
    </w:p>
    <w:p w:rsidR="00DB42FE" w:rsidRPr="004443A9" w:rsidRDefault="00DB42FE" w:rsidP="00616347">
      <w:pPr>
        <w:pStyle w:val="EndNoteBibliography"/>
        <w:ind w:left="360"/>
      </w:pPr>
      <w:r w:rsidRPr="004443A9">
        <w:t xml:space="preserve">Results: Very small but measurable transfer between samples of highly divergent isotope composition was detectable. For samples having a similar composition, this cross‐contamination is considered negligible with respect to measurement uncertainty. For samples having divergent composition, we found that placing a sample vessel loaded with silica mesh adsorbent between samples eliminated measurable cross‐contamination in all cases for both </w:t>
      </w:r>
      <w:r w:rsidRPr="004443A9">
        <w:rPr>
          <w:vertAlign w:val="superscript"/>
        </w:rPr>
        <w:t>14</w:t>
      </w:r>
      <w:r w:rsidRPr="004443A9">
        <w:t>C/</w:t>
      </w:r>
      <w:r w:rsidRPr="004443A9">
        <w:rPr>
          <w:vertAlign w:val="superscript"/>
        </w:rPr>
        <w:t>13</w:t>
      </w:r>
      <w:r w:rsidRPr="004443A9">
        <w:t xml:space="preserve">C and </w:t>
      </w:r>
      <w:r w:rsidRPr="004443A9">
        <w:rPr>
          <w:i/>
        </w:rPr>
        <w:t>δ</w:t>
      </w:r>
      <w:r w:rsidRPr="004443A9">
        <w:rPr>
          <w:vertAlign w:val="superscript"/>
        </w:rPr>
        <w:t>13</w:t>
      </w:r>
      <w:r w:rsidRPr="004443A9">
        <w:t xml:space="preserve">C values. </w:t>
      </w:r>
    </w:p>
    <w:p w:rsidR="00DB42FE" w:rsidRPr="004443A9" w:rsidRDefault="00DB42FE" w:rsidP="00616347">
      <w:pPr>
        <w:pStyle w:val="EndNoteBibliography"/>
        <w:spacing w:after="0"/>
        <w:ind w:left="360"/>
      </w:pPr>
      <w:r w:rsidRPr="004443A9">
        <w:t xml:space="preserve">Conclusions: It is possible to subject up to seven samples to HyPy in the same reactor run for the determination of radiocarbon content and </w:t>
      </w:r>
      <w:r w:rsidRPr="004443A9">
        <w:rPr>
          <w:i/>
        </w:rPr>
        <w:t>δ</w:t>
      </w:r>
      <w:r w:rsidRPr="004443A9">
        <w:rPr>
          <w:vertAlign w:val="superscript"/>
        </w:rPr>
        <w:t>13</w:t>
      </w:r>
      <w:r w:rsidRPr="004443A9">
        <w:t xml:space="preserve">C value without diminishing the precision or accuracy of the results. This approach enables an increase in sample throughput of 300–600%. HyPy process background values are consistently lower than the nominal laboratory process background for quartz tube combustion in the NERC Radiocarbon Laboratory, indicating that HyPy may also be advantageous as a relatively ‘clean’ radiocarbon pre‐treatment method. </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Hall, C.M., Johnsen, M.G., </w:t>
      </w:r>
      <w:r w:rsidR="00616347">
        <w:t xml:space="preserve">2020. </w:t>
      </w:r>
      <w:r w:rsidRPr="004443A9">
        <w:t>Possible influence of variations in the geomagnetic field on migration paths of snow buntings. International Journal of Astrobiology 19, 195-201.</w:t>
      </w:r>
    </w:p>
    <w:p w:rsidR="00DB42FE" w:rsidRPr="004443A9" w:rsidRDefault="00DB42FE" w:rsidP="00616347">
      <w:pPr>
        <w:pStyle w:val="EndNoteBibliography"/>
        <w:ind w:left="360"/>
      </w:pPr>
      <w:r w:rsidRPr="004443A9">
        <w:t>DOI: https://doi.org/10.1017/S1473550419000193</w:t>
      </w:r>
    </w:p>
    <w:p w:rsidR="00DB42FE" w:rsidRPr="004443A9" w:rsidRDefault="00DB42FE" w:rsidP="00616347">
      <w:pPr>
        <w:pStyle w:val="EndNoteBibliography"/>
        <w:spacing w:after="0"/>
        <w:ind w:left="360"/>
      </w:pPr>
      <w:r w:rsidRPr="004443A9">
        <w:t>A hypothesis is proposed wherein changes in the Earth's magnetic field affect the migratory paths of snow buntings (</w:t>
      </w:r>
      <w:r w:rsidRPr="004443A9">
        <w:rPr>
          <w:i/>
        </w:rPr>
        <w:t>Plectrophenax nivalis</w:t>
      </w:r>
      <w:r w:rsidRPr="004443A9">
        <w:t>), and in particular from wintering grounds in the Russian/Ukrainian steppes to breeding grounds on Svalbard and with a typical stopover in Finnmark in northern Norway. If one were to assume ignorance of the secular movement of the magnetic north pole approximately 1500 km northwards between 1908 and 2020, the magnetoreceptor contribution to snow buntings' navigation would result in winter-to-summer migratory paths progressively further to the East. In turn, this could be a contributing factor to declining populations in Finnmark and favouring a more frequent flightpath over the Kola Peninsula. On the other hand, short-term perturbations in the magnetic field (i.e. induced by solar activity) and therefore existing for a relatively small proportion of the flight time (if at all) for the individual migrations legs seem unlikely to influence the stopover locations significantly. Even so, these space-weather induced variations cannot be disregarded, particularly for success in reaching Svalbard.</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lastRenderedPageBreak/>
        <w:t xml:space="preserve">Halloran, M., Traina, N., Choi, J., Lee, T., Yoo, J., </w:t>
      </w:r>
      <w:r w:rsidR="00616347">
        <w:t xml:space="preserve">2020. </w:t>
      </w:r>
      <w:r w:rsidRPr="004443A9">
        <w:t>Simultaneous measurements of light hydrocarbons using supercontinuum laser absorption spectroscopy. Energy &amp; Fuels 34, 3671-3678.</w:t>
      </w:r>
    </w:p>
    <w:p w:rsidR="00DB42FE" w:rsidRPr="004443A9" w:rsidRDefault="00DB42FE" w:rsidP="00616347">
      <w:pPr>
        <w:pStyle w:val="EndNoteBibliography"/>
        <w:ind w:left="360"/>
      </w:pPr>
      <w:r w:rsidRPr="004443A9">
        <w:t>https://doi.org/10.1021/acs.energyfuels.9b03192</w:t>
      </w:r>
    </w:p>
    <w:p w:rsidR="00DB42FE" w:rsidRPr="004443A9" w:rsidRDefault="00DB42FE" w:rsidP="00616347">
      <w:pPr>
        <w:pStyle w:val="EndNoteBibliography"/>
        <w:spacing w:after="0"/>
        <w:ind w:left="360"/>
      </w:pPr>
      <w:r w:rsidRPr="004443A9">
        <w:t>Simultaneous measurements of light hydrocarbon species based on near-infrared (near-IR) supercontinuum laser absorption spectroscopy (SCLAS) are demonstrated. SCLAS is a broadband absorption diagnostic technique that provides significant advantages over existing absorption diagnostic techniques. Coupled with a fast spectrum analysis strategy, accurate measurements of multiple hydrocarbon concentrations can be made concurrently. Methane (CH</w:t>
      </w:r>
      <w:r w:rsidRPr="004443A9">
        <w:rPr>
          <w:vertAlign w:val="subscript"/>
        </w:rPr>
        <w:t>4</w:t>
      </w:r>
      <w:r w:rsidRPr="004443A9">
        <w:t>), acetylene (C</w:t>
      </w:r>
      <w:r w:rsidRPr="004443A9">
        <w:rPr>
          <w:vertAlign w:val="subscript"/>
        </w:rPr>
        <w:t>2</w:t>
      </w:r>
      <w:r w:rsidRPr="004443A9">
        <w:t>H</w:t>
      </w:r>
      <w:r w:rsidRPr="004443A9">
        <w:rPr>
          <w:vertAlign w:val="subscript"/>
        </w:rPr>
        <w:t>2</w:t>
      </w:r>
      <w:r w:rsidRPr="004443A9">
        <w:t>), ethylene (C</w:t>
      </w:r>
      <w:r w:rsidRPr="004443A9">
        <w:rPr>
          <w:vertAlign w:val="subscript"/>
        </w:rPr>
        <w:t>2</w:t>
      </w:r>
      <w:r w:rsidRPr="004443A9">
        <w:t>H</w:t>
      </w:r>
      <w:r w:rsidRPr="004443A9">
        <w:rPr>
          <w:vertAlign w:val="subscript"/>
        </w:rPr>
        <w:t>4</w:t>
      </w:r>
      <w:r w:rsidRPr="004443A9">
        <w:t>), and their mixtures were probed near ambient temperature and pressure conditions. Light hydrocarbons are found in many fuel and energy applications, and a sensor that can accurately and simultaneously probe multiple species’ concentrations and temperature would greatly enhance measurement versatility. Absorption spectra of the three hydrocarbon species were measured between 1.5 and 1.7 μm in this study. These spectra can be very convoluted, where broad absorption features interfere with neighboring features, be it from the same or different species. Species concentrations and temperatures were resolved using a spectrum analysis strategy based on linear regression. Experimental results showed good agreement with test conditions even in the presence of significant spectral overlap.</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Han, W.-x., Chang, X.-c., Tao, S.-z., Yang, W.-w., Yao, J.-l., </w:t>
      </w:r>
      <w:r w:rsidR="00616347">
        <w:t xml:space="preserve">2020. </w:t>
      </w:r>
      <w:r w:rsidRPr="004443A9">
        <w:t>Anomalies and genetic mechanism of ethane carbon isotope in the Ordovician carbonate reservoirs in the Jingbian gas field, Ordos Basin, China. Carbonates and Evaporites 35, 21.</w:t>
      </w:r>
    </w:p>
    <w:p w:rsidR="00DB42FE" w:rsidRPr="004443A9" w:rsidRDefault="00DB42FE" w:rsidP="00616347">
      <w:pPr>
        <w:pStyle w:val="EndNoteBibliography"/>
        <w:ind w:left="360"/>
      </w:pPr>
      <w:r w:rsidRPr="004443A9">
        <w:t>https://doi.org/10.1007/s13146-020-00558-9</w:t>
      </w:r>
    </w:p>
    <w:p w:rsidR="00DB42FE" w:rsidRPr="004443A9" w:rsidRDefault="00DB42FE" w:rsidP="00616347">
      <w:pPr>
        <w:pStyle w:val="EndNoteBibliography"/>
        <w:spacing w:after="0"/>
        <w:ind w:left="360"/>
      </w:pPr>
      <w:r w:rsidRPr="004443A9">
        <w:t>The Ordos Basin is one of the most petroliferous basins in China, and the cumulative gas yield of the Jingbian gas field was 91.36 × 10</w:t>
      </w:r>
      <w:r w:rsidRPr="004443A9">
        <w:rPr>
          <w:vertAlign w:val="superscript"/>
        </w:rPr>
        <w:t>9</w:t>
      </w:r>
      <w:r w:rsidRPr="004443A9">
        <w:t xml:space="preserve"> m</w:t>
      </w:r>
      <w:r w:rsidRPr="004443A9">
        <w:rPr>
          <w:vertAlign w:val="superscript"/>
        </w:rPr>
        <w:t>3</w:t>
      </w:r>
      <w:r w:rsidRPr="004443A9">
        <w:t>, accounting for nearly 30% of total gas production in the Ordos Basin. The ethane carbon isotopic value of gases in the Ordovician carbonate reservoirs in the Jingbian gas field is abnormally depleted (δ</w:t>
      </w:r>
      <w:r w:rsidRPr="004443A9">
        <w:rPr>
          <w:vertAlign w:val="superscript"/>
        </w:rPr>
        <w:t>13</w:t>
      </w:r>
      <w:r w:rsidRPr="004443A9">
        <w:t>C</w:t>
      </w:r>
      <w:r w:rsidRPr="004443A9">
        <w:rPr>
          <w:vertAlign w:val="subscript"/>
        </w:rPr>
        <w:t>1</w:t>
      </w:r>
      <w:r w:rsidRPr="004443A9">
        <w:t> &gt; δ</w:t>
      </w:r>
      <w:r w:rsidRPr="004443A9">
        <w:rPr>
          <w:vertAlign w:val="superscript"/>
        </w:rPr>
        <w:t>13</w:t>
      </w:r>
      <w:r w:rsidRPr="004443A9">
        <w:t>C</w:t>
      </w:r>
      <w:r w:rsidRPr="004443A9">
        <w:rPr>
          <w:vertAlign w:val="subscript"/>
        </w:rPr>
        <w:t>2</w:t>
      </w:r>
      <w:r w:rsidRPr="004443A9">
        <w:t> &lt; δ</w:t>
      </w:r>
      <w:r w:rsidRPr="004443A9">
        <w:rPr>
          <w:vertAlign w:val="superscript"/>
        </w:rPr>
        <w:t>13</w:t>
      </w:r>
      <w:r w:rsidRPr="004443A9">
        <w:t>C</w:t>
      </w:r>
      <w:r w:rsidRPr="004443A9">
        <w:rPr>
          <w:vertAlign w:val="subscript"/>
        </w:rPr>
        <w:t>3</w:t>
      </w:r>
      <w:r w:rsidRPr="004443A9">
        <w:t>), which has directly led to the controversy over the source and genetic types of natural gas in the Jingbian gas field. To find out the genetic mechanism of anomalies of ethane carbon isotope, components and carbon isotopic values of natural gas in the Jingbian gas field were measured. On this basis, natural gas components and stable carbon isotopic values of the Wushenqi and Jingbian gas field were comprehensively measured and compared. The results show that higher thermal maturity leads to further cracking of the oil generated earlier and the residual kerogen. These secondary cracked gases mixed with the early generated gases lead to the anomalies of ethane carbon isotope. When thermal maturity reaches a critical value, it will have different effect on carbon isotopic values of methane and ethane. The carbon isotopic value of methane will continue to increase; however, that of the ethane will gradually decrease, which will eventually lead to the anomalies of ethane carbon isotope. Migration fractionation will also lead to the abnormally depleted of carbon isotopic values of ethane.</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Han, X., Feng, F., Cong, Z., </w:t>
      </w:r>
      <w:r w:rsidR="00616347">
        <w:t xml:space="preserve">2020. </w:t>
      </w:r>
      <w:r w:rsidRPr="004443A9">
        <w:t>Dynamic evaluation method of caprock microscopic sealing in CO</w:t>
      </w:r>
      <w:r w:rsidRPr="004443A9">
        <w:rPr>
          <w:vertAlign w:val="subscript"/>
        </w:rPr>
        <w:t>2</w:t>
      </w:r>
      <w:r w:rsidRPr="004443A9">
        <w:t xml:space="preserve"> sequestration project. Geofluids 2020, 2648692.</w:t>
      </w:r>
    </w:p>
    <w:p w:rsidR="00DB42FE" w:rsidRPr="004443A9" w:rsidRDefault="00DB42FE" w:rsidP="00616347">
      <w:pPr>
        <w:pStyle w:val="EndNoteBibliography"/>
        <w:ind w:left="360"/>
      </w:pPr>
      <w:r w:rsidRPr="004443A9">
        <w:t>https://doi.org/10.1155/2020/2648692</w:t>
      </w:r>
    </w:p>
    <w:p w:rsidR="00DB42FE" w:rsidRPr="004443A9" w:rsidRDefault="00DB42FE" w:rsidP="00616347">
      <w:pPr>
        <w:pStyle w:val="EndNoteBibliography"/>
        <w:spacing w:after="0"/>
        <w:ind w:left="360"/>
      </w:pPr>
      <w:r w:rsidRPr="004443A9">
        <w:lastRenderedPageBreak/>
        <w:t>The existing statistical evaluation methods of caprock sealing ability in CO</w:t>
      </w:r>
      <w:r w:rsidRPr="004443A9">
        <w:rPr>
          <w:vertAlign w:val="subscript"/>
        </w:rPr>
        <w:t>2</w:t>
      </w:r>
      <w:r w:rsidRPr="004443A9">
        <w:t xml:space="preserve"> sequestration engineering only take into account the sealing ability of caprocks before sequestration but cannot reflect the retained sealing ability of caprock after hydrochemical reactions. A microscopic sealing evaluation method of caprock was established based on the microscopic mechanism of chemical reaction and the breakthrough pressure of caprock which, changes with the time of CO</w:t>
      </w:r>
      <w:r w:rsidRPr="004443A9">
        <w:rPr>
          <w:vertAlign w:val="subscript"/>
        </w:rPr>
        <w:t>2</w:t>
      </w:r>
      <w:r w:rsidRPr="004443A9">
        <w:t xml:space="preserve"> sequestration, was taken as the dynamic evaluation index. The results show that the change of microstructure parameters such as the average pore radius after dissolution is the essential reason that affects the variation of the caprock microscopic sealing property. Dissolution or precipitation of different caprock minerals during the chemical reaction process is the key factor that determines the decrease or increase of caprock microscopic sealing property. The evaluation method can reflect the change of microscopic sealing property of the caprocks in different areas as the sealing time goes and provides an efficient and practical quantitative evaluation method for the initial formation site selection and safety sealing in the later stage.</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Hansen Wheat, C., Temrin, H., </w:t>
      </w:r>
      <w:r w:rsidR="00616347">
        <w:t xml:space="preserve">2020. </w:t>
      </w:r>
      <w:r w:rsidRPr="004443A9">
        <w:t>Intrinsic ball retrieving in wolf puppies suggests standing ancestral variation for human-directed play behavior. iScience 23, 100811.</w:t>
      </w:r>
    </w:p>
    <w:p w:rsidR="00DB42FE" w:rsidRPr="004443A9" w:rsidRDefault="00DB42FE" w:rsidP="00616347">
      <w:pPr>
        <w:pStyle w:val="EndNoteBibliography"/>
        <w:ind w:left="360"/>
      </w:pPr>
      <w:r w:rsidRPr="004443A9">
        <w:t>http://www.sciencedirect.com/science/article/pii/S2589004219305577</w:t>
      </w:r>
    </w:p>
    <w:p w:rsidR="00DB42FE" w:rsidRPr="004443A9" w:rsidRDefault="00DB42FE" w:rsidP="00616347">
      <w:pPr>
        <w:pStyle w:val="EndNoteBibliography"/>
        <w:spacing w:after="0"/>
        <w:ind w:left="360"/>
      </w:pPr>
      <w:r w:rsidRPr="004443A9">
        <w:t>Domestication dramatically alters phenotypes across animal species. Standing variation among ancestral populations often drives phenotypic change during domestication, but some changes are caused by novel mutations. In dogs (</w:t>
      </w:r>
      <w:r w:rsidRPr="004443A9">
        <w:rPr>
          <w:i/>
        </w:rPr>
        <w:t>Canis familiaris</w:t>
      </w:r>
      <w:r w:rsidRPr="004443A9">
        <w:t>) specifically, it has been suggested that the ability to interpret social-communicative behavior expressed by humans originated post-domestication and this behavior is thus not expected to occur in wolves (</w:t>
      </w:r>
      <w:r w:rsidRPr="004443A9">
        <w:rPr>
          <w:i/>
        </w:rPr>
        <w:t>Canis lupus</w:t>
      </w:r>
      <w:r w:rsidRPr="004443A9">
        <w:t>). Here we report the observation of three 8-week-old wolf puppies spontaneously responding to social-communicative behaviors from an unfamiliar person by retrieving a ball. This behavioral expression in wolves has significant implications for our understanding and expectations of the genetic foundations of dog behavior. Importantly, our observations indicate that behavioral responses to human social-communicative cues are not unique to dogs. This suggests that, although probably rare, standing variation in the expression of human-directed behavior in ancestral populations could have been an important target for early selective pressures exerted during dog domestication.</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He, W., Wang, G., Wang, Y., Wei, Z., Huang, Z., Zhang, T., Ma, X., Ma, H., Yu, X., </w:t>
      </w:r>
      <w:r w:rsidR="00616347">
        <w:t xml:space="preserve">2020. </w:t>
      </w:r>
      <w:r w:rsidRPr="004443A9">
        <w:t>Microbial communities and lipid records of the Linxia Basin, NE Tibetan Plateau: Implications for enhanced aridity in the Late Miocene. Journal of Asian Earth Sciences 193, 104290.</w:t>
      </w:r>
    </w:p>
    <w:p w:rsidR="00DB42FE" w:rsidRPr="004443A9" w:rsidRDefault="00DB42FE" w:rsidP="00616347">
      <w:pPr>
        <w:pStyle w:val="EndNoteBibliography"/>
        <w:ind w:left="360"/>
      </w:pPr>
      <w:r w:rsidRPr="004443A9">
        <w:t>http://www.sciencedirect.com/science/article/pii/S1367912020300717</w:t>
      </w:r>
    </w:p>
    <w:p w:rsidR="00DB42FE" w:rsidRPr="004443A9" w:rsidRDefault="00DB42FE" w:rsidP="00616347">
      <w:pPr>
        <w:pStyle w:val="EndNoteBibliography"/>
        <w:spacing w:after="0"/>
        <w:ind w:left="360"/>
      </w:pPr>
      <w:r w:rsidRPr="004443A9">
        <w:t xml:space="preserve">The Linxia Basin on the north-eastern Tibetan Plateau in northwest China bears continuous and thick lacustrine-fluvial sediments with environmental significance to central Asian aridification. However, limited efforts have been made on investigating the microbial community evolution, even though lipid biomarkers have been successfully employed to reconstruct paleoenvironmental conditions in this area. This study used the ancient DNA and </w:t>
      </w:r>
      <w:r w:rsidRPr="004443A9">
        <w:rPr>
          <w:i/>
        </w:rPr>
        <w:t>n-</w:t>
      </w:r>
      <w:r w:rsidRPr="004443A9">
        <w:t xml:space="preserve">alkanes preserved in the lacustrine-fluvial sediments from the Linxia Basin, and employed high throughput sequencing and geochemical analyses to understand the climatic conditions spanning the past 29 million years. The characteristics of </w:t>
      </w:r>
      <w:r w:rsidRPr="004443A9">
        <w:rPr>
          <w:i/>
        </w:rPr>
        <w:t>n</w:t>
      </w:r>
      <w:r w:rsidRPr="004443A9">
        <w:t xml:space="preserve">-alkanes indicate that the organic matter was derived from mixed sources (bacteria, algae, and higher plants), and a series of </w:t>
      </w:r>
      <w:r w:rsidRPr="004443A9">
        <w:rPr>
          <w:i/>
        </w:rPr>
        <w:t>n</w:t>
      </w:r>
      <w:r w:rsidRPr="004443A9">
        <w:t xml:space="preserve">-alkane proxies (ACL, </w:t>
      </w:r>
      <w:r w:rsidRPr="004443A9">
        <w:rPr>
          <w:i/>
        </w:rPr>
        <w:t>n</w:t>
      </w:r>
      <w:r w:rsidRPr="004443A9">
        <w:t>-C</w:t>
      </w:r>
      <w:r w:rsidRPr="004443A9">
        <w:rPr>
          <w:vertAlign w:val="subscript"/>
        </w:rPr>
        <w:t>21</w:t>
      </w:r>
      <w:r w:rsidRPr="004443A9">
        <w:rPr>
          <w:vertAlign w:val="superscript"/>
        </w:rPr>
        <w:t>−</w:t>
      </w:r>
      <w:r w:rsidRPr="004443A9">
        <w:t>/</w:t>
      </w:r>
      <w:r w:rsidRPr="004443A9">
        <w:rPr>
          <w:i/>
        </w:rPr>
        <w:t>n</w:t>
      </w:r>
      <w:r w:rsidRPr="004443A9">
        <w:t>-C</w:t>
      </w:r>
      <w:r w:rsidRPr="004443A9">
        <w:rPr>
          <w:vertAlign w:val="subscript"/>
        </w:rPr>
        <w:t>22</w:t>
      </w:r>
      <w:r w:rsidRPr="004443A9">
        <w:rPr>
          <w:vertAlign w:val="superscript"/>
        </w:rPr>
        <w:t>+</w:t>
      </w:r>
      <w:r w:rsidRPr="004443A9">
        <w:t xml:space="preserve">, Paq, and </w:t>
      </w:r>
      <w:r w:rsidRPr="004443A9">
        <w:lastRenderedPageBreak/>
        <w:t>Pwax) established that the climate shifted to arid conditions at approximately 8 Ma. It is noteworthy that the relative abundance trends of two classes of microbes (Proteobacteria and Firmicutes) were negatively correlated. Furthermore, the increasing Firmicutes and the relatively decreasing Proteobacteria at approximately 8 Ma also corroborated this arid event. In addition, during this period, there was an extremely low abundance of archaea, which might correspond to severe climatic conditions around 8 Ma. Therefore, this study suggests that the microbial communities could serve as a potential tool for the reconstruction of paleoenvironments.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He, X., Cheng, Y., Hu, B., Wang, Z., Wang, C., Yi, M., Wang, L., </w:t>
      </w:r>
      <w:r w:rsidR="00616347">
        <w:t xml:space="preserve">2020. </w:t>
      </w:r>
      <w:r w:rsidRPr="004443A9">
        <w:t>Effects of coal pore structure on methane‐coal sorption hysteresis: An experimental investigation based on fractal analysis and hysteresis evaluation. Fuel 269, 117438.</w:t>
      </w:r>
    </w:p>
    <w:p w:rsidR="00DB42FE" w:rsidRPr="004443A9" w:rsidRDefault="00DB42FE" w:rsidP="00616347">
      <w:pPr>
        <w:pStyle w:val="EndNoteBibliography"/>
        <w:ind w:left="360"/>
      </w:pPr>
      <w:r w:rsidRPr="004443A9">
        <w:t>http://www.sciencedirect.com/science/article/pii/S0016236120304336</w:t>
      </w:r>
    </w:p>
    <w:p w:rsidR="00DB42FE" w:rsidRPr="004443A9" w:rsidRDefault="00DB42FE" w:rsidP="00616347">
      <w:pPr>
        <w:pStyle w:val="EndNoteBibliography"/>
        <w:spacing w:after="0"/>
        <w:ind w:left="360"/>
      </w:pPr>
      <w:r w:rsidRPr="004443A9">
        <w:t>To investigate the effects of coal pore structure on the methane‐coal sorption hysteresis, six coal samples were collected. The methane‐coal sorption measurement was performed at 35 °C and pressure up to 5.5 MPa using a high-pressure volumetric analysis system (HPVAS). With the help of N</w:t>
      </w:r>
      <w:r w:rsidRPr="004443A9">
        <w:rPr>
          <w:vertAlign w:val="subscript"/>
        </w:rPr>
        <w:t>2</w:t>
      </w:r>
      <w:r w:rsidRPr="004443A9">
        <w:t xml:space="preserve"> physisorption at 77 K and CO</w:t>
      </w:r>
      <w:r w:rsidRPr="004443A9">
        <w:rPr>
          <w:vertAlign w:val="subscript"/>
        </w:rPr>
        <w:t>2</w:t>
      </w:r>
      <w:r w:rsidRPr="004443A9">
        <w:t xml:space="preserve"> physisorption at 273 K, basic pore properties including specific surface area (SSA), mode diameters and pore size distribution (PSD) were obtained through classical thermodynamic methods and the advanced density functional theory (DFT). A Fréchet distance index (FDI) based on the resemblance of two curves was proposed to overcome the difficulty in quantitatively evaluating the methane‐coal sorption hysteresis. Quantified heterogeneity of the coal pore structure by five fractal dimensions derived from Frenkel-Halsey-Hill model (</w:t>
      </w:r>
      <w:r w:rsidRPr="004443A9">
        <w:rPr>
          <w:i/>
        </w:rPr>
        <w:t>D</w:t>
      </w:r>
      <w:r w:rsidRPr="004443A9">
        <w:rPr>
          <w:vertAlign w:val="subscript"/>
        </w:rPr>
        <w:t>FHH1</w:t>
      </w:r>
      <w:r w:rsidRPr="004443A9">
        <w:t xml:space="preserve"> and </w:t>
      </w:r>
      <w:r w:rsidRPr="004443A9">
        <w:rPr>
          <w:i/>
        </w:rPr>
        <w:t>D</w:t>
      </w:r>
      <w:r w:rsidRPr="004443A9">
        <w:rPr>
          <w:vertAlign w:val="subscript"/>
        </w:rPr>
        <w:t>FHH2</w:t>
      </w:r>
      <w:r w:rsidRPr="004443A9">
        <w:t>), Neimark-Kiselev model (</w:t>
      </w:r>
      <w:r w:rsidRPr="004443A9">
        <w:rPr>
          <w:i/>
        </w:rPr>
        <w:t>D</w:t>
      </w:r>
      <w:r w:rsidRPr="004443A9">
        <w:rPr>
          <w:vertAlign w:val="subscript"/>
        </w:rPr>
        <w:t>NK</w:t>
      </w:r>
      <w:r w:rsidRPr="004443A9">
        <w:t>), Wang-Li model (</w:t>
      </w:r>
      <w:r w:rsidRPr="004443A9">
        <w:rPr>
          <w:i/>
        </w:rPr>
        <w:t>D</w:t>
      </w:r>
      <w:r w:rsidRPr="004443A9">
        <w:rPr>
          <w:vertAlign w:val="subscript"/>
        </w:rPr>
        <w:t>WL</w:t>
      </w:r>
      <w:r w:rsidRPr="004443A9">
        <w:t>) and Sierpinski model (</w:t>
      </w:r>
      <w:r w:rsidRPr="004443A9">
        <w:rPr>
          <w:i/>
        </w:rPr>
        <w:t>D</w:t>
      </w:r>
      <w:r w:rsidRPr="004443A9">
        <w:rPr>
          <w:vertAlign w:val="subscript"/>
        </w:rPr>
        <w:t>SPS</w:t>
      </w:r>
      <w:r w:rsidRPr="004443A9">
        <w:t xml:space="preserve">) was coupled with the FDI for regression analyses. Results indicate that increasing SSA and stronger first-layer adsorption energy may exacerbate the methane-coal sorption hysteresis, while no satisfactory correlation was observed between the methane-coal sorption hysteresis and the pore volume. Wider Dubinin-Astakhov PSD and bigger mode diameters were found corresponding to smaller FDIs indicating reduced methane-coal sorption hysteresis. Correlation between the FDI and the fractal dimensions revealed a possible positive correlation between the methane-coal sorption hysteresis and the heterogeneity of the coal pore structure, especially for </w:t>
      </w:r>
      <w:r w:rsidRPr="004443A9">
        <w:rPr>
          <w:i/>
        </w:rPr>
        <w:t>D</w:t>
      </w:r>
      <w:r w:rsidRPr="004443A9">
        <w:rPr>
          <w:vertAlign w:val="subscript"/>
        </w:rPr>
        <w:t>FHH2</w:t>
      </w:r>
      <w:r w:rsidRPr="004443A9">
        <w:t xml:space="preserve"> whose applied pore widths were 2.78–385 nm.</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He, Y., Wang, H., Meng, B., Liu, H., Zhou, A., Song, M., Kolpakova, M., Krivonogov, S., Liu, W., Liu, Z., </w:t>
      </w:r>
      <w:r w:rsidR="00616347">
        <w:t xml:space="preserve">2020. </w:t>
      </w:r>
      <w:r w:rsidRPr="004443A9">
        <w:t>Appraisal of alkenone- and archaeal ether-based salinity indicators in mid-latitude Asian lakes. Earth and Planetary Science Letters 538, 116236.</w:t>
      </w:r>
    </w:p>
    <w:p w:rsidR="00DB42FE" w:rsidRPr="004443A9" w:rsidRDefault="00DB42FE" w:rsidP="00616347">
      <w:pPr>
        <w:pStyle w:val="EndNoteBibliography"/>
        <w:ind w:left="360"/>
      </w:pPr>
      <w:r w:rsidRPr="004443A9">
        <w:t>http://www.sciencedirect.com/science/article/pii/S0012821X20301795</w:t>
      </w:r>
    </w:p>
    <w:p w:rsidR="00DB42FE" w:rsidRPr="004443A9" w:rsidRDefault="00DB42FE" w:rsidP="00616347">
      <w:pPr>
        <w:pStyle w:val="EndNoteBibliography"/>
        <w:spacing w:after="0"/>
        <w:ind w:left="360"/>
      </w:pPr>
      <w:r w:rsidRPr="004443A9">
        <w:t>Lake water salinity, an important indicator of lake hydrological conditions, is critical to deciphering terrestrial paleoclimatic and paleoenvironmental changes. The proportion of C</w:t>
      </w:r>
      <w:r w:rsidRPr="004443A9">
        <w:rPr>
          <w:vertAlign w:val="subscript"/>
        </w:rPr>
        <w:t>37:4</w:t>
      </w:r>
      <w:r w:rsidRPr="004443A9">
        <w:t xml:space="preserve"> alkenone to total C</w:t>
      </w:r>
      <w:r w:rsidRPr="004443A9">
        <w:rPr>
          <w:vertAlign w:val="subscript"/>
        </w:rPr>
        <w:t>37</w:t>
      </w:r>
      <w:r w:rsidRPr="004443A9">
        <w:t xml:space="preserve"> alkenones (%C</w:t>
      </w:r>
      <w:r w:rsidRPr="004443A9">
        <w:rPr>
          <w:vertAlign w:val="subscript"/>
        </w:rPr>
        <w:t>37:4</w:t>
      </w:r>
      <w:r w:rsidRPr="004443A9">
        <w:t>) and the relative abundance of archaeol to caldarchaeol (ACE) are promising salinity indices in lacustrine settings. Developing regional calibrations for both indicators is challenging due to limited datasets and a poor understanding of the factors that influence them. Here we present %C</w:t>
      </w:r>
      <w:r w:rsidRPr="004443A9">
        <w:rPr>
          <w:vertAlign w:val="subscript"/>
        </w:rPr>
        <w:t>37:4</w:t>
      </w:r>
      <w:r w:rsidRPr="004443A9">
        <w:t xml:space="preserve"> and ACE data collected from 55 lakes in mid-latitude Asia with a wide salinity range, to evaluate how well the two proxies can be correlated with salinity and to infer potential influencing factors. The %C</w:t>
      </w:r>
      <w:r w:rsidRPr="004443A9">
        <w:rPr>
          <w:vertAlign w:val="subscript"/>
        </w:rPr>
        <w:t>37:4</w:t>
      </w:r>
      <w:r w:rsidRPr="004443A9">
        <w:t xml:space="preserve"> values only show a weak negative correlation with salinity from all </w:t>
      </w:r>
      <w:r w:rsidRPr="004443A9">
        <w:lastRenderedPageBreak/>
        <w:t>investigated lakes. The occurrence of C</w:t>
      </w:r>
      <w:r w:rsidRPr="004443A9">
        <w:rPr>
          <w:vertAlign w:val="subscript"/>
        </w:rPr>
        <w:t>37:3</w:t>
      </w:r>
      <w:r w:rsidRPr="004443A9">
        <w:t xml:space="preserve"> alkenone isomer and abnormal values in the alkenone C</w:t>
      </w:r>
      <w:r w:rsidRPr="004443A9">
        <w:rPr>
          <w:vertAlign w:val="subscript"/>
        </w:rPr>
        <w:t>37</w:t>
      </w:r>
      <w:r w:rsidRPr="004443A9">
        <w:t>/C</w:t>
      </w:r>
      <w:r w:rsidRPr="004443A9">
        <w:rPr>
          <w:vertAlign w:val="subscript"/>
        </w:rPr>
        <w:t>38</w:t>
      </w:r>
      <w:r w:rsidRPr="004443A9">
        <w:t xml:space="preserve"> ratio might signal species shifts or environmental factors that compromise the %C</w:t>
      </w:r>
      <w:r w:rsidRPr="004443A9">
        <w:rPr>
          <w:vertAlign w:val="subscript"/>
        </w:rPr>
        <w:t>37:4</w:t>
      </w:r>
      <w:r w:rsidRPr="004443A9">
        <w:t>-salinity relationship in our data set. Seasonal bias in alkenone production could further obscure this %C</w:t>
      </w:r>
      <w:r w:rsidRPr="004443A9">
        <w:rPr>
          <w:vertAlign w:val="subscript"/>
        </w:rPr>
        <w:t>37:4</w:t>
      </w:r>
      <w:r w:rsidRPr="004443A9">
        <w:t>-salinity relationship. A stronger relationship emerges after removing samples influenced by these factors: %C</w:t>
      </w:r>
      <w:r w:rsidRPr="004443A9">
        <w:rPr>
          <w:vertAlign w:val="subscript"/>
        </w:rPr>
        <w:t>37:4</w:t>
      </w:r>
      <w:r w:rsidRPr="004443A9">
        <w:rPr>
          <w:rFonts w:ascii="Times New Roman" w:hAnsi="Times New Roman" w:cs="Times New Roman"/>
        </w:rPr>
        <w:t>⁎</w:t>
      </w:r>
      <w:r w:rsidRPr="004443A9">
        <w:t>=</w:t>
      </w:r>
      <w:r w:rsidRPr="004443A9">
        <w:rPr>
          <w:rFonts w:cs="Calibri"/>
        </w:rPr>
        <w:t>−</w:t>
      </w:r>
      <w:r w:rsidRPr="004443A9">
        <w:t>8.56</w:t>
      </w:r>
      <w:r w:rsidRPr="004443A9">
        <w:rPr>
          <w:rFonts w:ascii="Times New Roman" w:hAnsi="Times New Roman" w:cs="Times New Roman"/>
        </w:rPr>
        <w:t>⁎</w:t>
      </w:r>
      <w:r w:rsidRPr="004443A9">
        <w:t>log10 (salinity) + 80.6, r2=0.62, n=37; or %C</w:t>
      </w:r>
      <w:r w:rsidRPr="004443A9">
        <w:rPr>
          <w:vertAlign w:val="subscript"/>
        </w:rPr>
        <w:t>37:4</w:t>
      </w:r>
      <w:r w:rsidRPr="004443A9">
        <w:rPr>
          <w:rFonts w:ascii="Times New Roman" w:hAnsi="Times New Roman" w:cs="Times New Roman"/>
        </w:rPr>
        <w:t>⁎</w:t>
      </w:r>
      <w:r w:rsidRPr="004443A9">
        <w:t>=</w:t>
      </w:r>
      <w:r w:rsidRPr="004443A9">
        <w:rPr>
          <w:rFonts w:cs="Calibri"/>
        </w:rPr>
        <w:t>−</w:t>
      </w:r>
      <w:r w:rsidRPr="004443A9">
        <w:t>13.46</w:t>
      </w:r>
      <w:r w:rsidRPr="004443A9">
        <w:rPr>
          <w:rFonts w:ascii="Times New Roman" w:hAnsi="Times New Roman" w:cs="Times New Roman"/>
        </w:rPr>
        <w:t>⁎</w:t>
      </w:r>
      <w:r w:rsidRPr="004443A9">
        <w:t xml:space="preserve">log10 (salinity) + 101.48, with uncertainty in both variables considered. The ACE values show a strong positive correlation with salinity from all investigated lakes: </w:t>
      </w:r>
      <w:r w:rsidRPr="004443A9">
        <w:rPr>
          <w:rFonts w:ascii="Times New Roman" w:hAnsi="Times New Roman" w:cs="Times New Roman"/>
        </w:rPr>
        <w:t>⁎⁎</w:t>
      </w:r>
      <w:r w:rsidRPr="004443A9">
        <w:t>ACE=2.27</w:t>
      </w:r>
      <w:r w:rsidRPr="004443A9">
        <w:rPr>
          <w:rFonts w:ascii="Times New Roman" w:hAnsi="Times New Roman" w:cs="Times New Roman"/>
        </w:rPr>
        <w:t>⁎</w:t>
      </w:r>
      <w:r w:rsidRPr="004443A9">
        <w:t>10</w:t>
      </w:r>
      <w:r w:rsidRPr="004443A9">
        <w:rPr>
          <w:rFonts w:cs="Calibri"/>
        </w:rPr>
        <w:t>−</w:t>
      </w:r>
      <w:r w:rsidRPr="004443A9">
        <w:t>4</w:t>
      </w:r>
      <w:r w:rsidRPr="004443A9">
        <w:rPr>
          <w:rFonts w:ascii="Times New Roman" w:hAnsi="Times New Roman" w:cs="Times New Roman"/>
        </w:rPr>
        <w:t>⁎</w:t>
      </w:r>
      <w:r w:rsidRPr="004443A9">
        <w:t xml:space="preserve">salinity+25.4, r2=0.75, n=68; or </w:t>
      </w:r>
      <w:r w:rsidRPr="004443A9">
        <w:rPr>
          <w:rFonts w:ascii="Times New Roman" w:hAnsi="Times New Roman" w:cs="Times New Roman"/>
        </w:rPr>
        <w:t>⁎⁎</w:t>
      </w:r>
      <w:r w:rsidRPr="004443A9">
        <w:t>ACE=1.86</w:t>
      </w:r>
      <w:r w:rsidRPr="004443A9">
        <w:rPr>
          <w:rFonts w:ascii="Times New Roman" w:hAnsi="Times New Roman" w:cs="Times New Roman"/>
        </w:rPr>
        <w:t>⁎</w:t>
      </w:r>
      <w:r w:rsidRPr="004443A9">
        <w:t>10</w:t>
      </w:r>
      <w:r w:rsidRPr="004443A9">
        <w:rPr>
          <w:rFonts w:cs="Calibri"/>
        </w:rPr>
        <w:t>−</w:t>
      </w:r>
      <w:r w:rsidRPr="004443A9">
        <w:t>4</w:t>
      </w:r>
      <w:r w:rsidRPr="004443A9">
        <w:rPr>
          <w:rFonts w:ascii="Times New Roman" w:hAnsi="Times New Roman" w:cs="Times New Roman"/>
        </w:rPr>
        <w:t>⁎</w:t>
      </w:r>
      <w:r w:rsidRPr="004443A9">
        <w:t xml:space="preserve">salinity+38.1, with uncertainty in both variables considered. However, substantial deviations of the ACE values in low salinity range (&lt;60,000 mg/L) and majority of the ACE shift in the range of 60,000–100,000 mg/L suggest that the ACE primarily responds to </w:t>
      </w:r>
      <w:r w:rsidRPr="004443A9">
        <w:rPr>
          <w:i/>
        </w:rPr>
        <w:t>Euryarchaeota</w:t>
      </w:r>
      <w:r w:rsidRPr="004443A9">
        <w:t>/Archaea community changes when a salinity threshold is crossed. Accordingly, both lake salinity indicators have the potential to reconstruct past salinity changes when their influencing factors could be constrained, and the two independent proxies, when they are used together, could further refine salinity reconstructions.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Healy, T.M., Burton, R.S., </w:t>
      </w:r>
      <w:r w:rsidR="00616347">
        <w:t xml:space="preserve">2020. </w:t>
      </w:r>
      <w:r w:rsidRPr="004443A9">
        <w:t>Strong selective effects of mitochondrial DNA on the nuclear genome. Proceedings of the National Academy of Sciences 117, 6616-6621.</w:t>
      </w:r>
    </w:p>
    <w:p w:rsidR="00DB42FE" w:rsidRPr="004443A9" w:rsidRDefault="00DB42FE" w:rsidP="00616347">
      <w:pPr>
        <w:pStyle w:val="EndNoteBibliography"/>
        <w:ind w:left="360"/>
      </w:pPr>
      <w:r w:rsidRPr="004443A9">
        <w:t xml:space="preserve">https://doi.org/10.1073/pnas.1910141117 </w:t>
      </w:r>
    </w:p>
    <w:p w:rsidR="00DB42FE" w:rsidRPr="004443A9" w:rsidRDefault="00DB42FE" w:rsidP="00616347">
      <w:pPr>
        <w:pStyle w:val="EndNoteBibliography"/>
        <w:ind w:left="360"/>
      </w:pPr>
      <w:r w:rsidRPr="004443A9">
        <w:t>Significance: Efficient ATP synthesis requires the coordinated functions of proteins and RNAs produced from both the nuclear and mitochondrial genomes. However, the importance of coevolution between the genomes in maintaining these interactions is highly debated. Here we assess the role of coevolution within populations by comparing the nuclear and mitochondrial genotypes of high- and low-fitness hybrids between genetically divergent populations of a marine copepod. High-fitness hybrids demonstrated elevated mitochondrial adenosine triphosphate synthesis and large biases for nuclear alleles from the same population as their mitochondrial genome. These results suggest that selection strongly favors coevolved mitochondrial and nuclear genes in natural populations. Disruption of mitonuclear compatibility, as may occur during secondary contact between populations, results in substantial reductions in hybrid fitness.</w:t>
      </w:r>
    </w:p>
    <w:p w:rsidR="00DB42FE" w:rsidRPr="004443A9" w:rsidRDefault="00DB42FE" w:rsidP="00616347">
      <w:pPr>
        <w:pStyle w:val="EndNoteBibliography"/>
        <w:spacing w:after="0"/>
        <w:ind w:left="360"/>
      </w:pPr>
      <w:r w:rsidRPr="004443A9">
        <w:t xml:space="preserve">Abstract: Oxidative phosphorylation, the primary source of cellular energy in eukaryotes, requires gene products encoded in both the nuclear and mitochondrial genomes. As a result, functional integration between the genomes is essential for efficient adenosine triphosphate (ATP) generation. Although within populations this integration is presumably maintained by coevolution, the importance of mitonuclear coevolution in key biological processes such as speciation and mitochondrial disease has been questioned. In this study, we crossed populations of the intertidal copepod </w:t>
      </w:r>
      <w:r w:rsidRPr="004443A9">
        <w:rPr>
          <w:i/>
        </w:rPr>
        <w:t>Tigriopus californicus</w:t>
      </w:r>
      <w:r w:rsidRPr="004443A9">
        <w:t xml:space="preserve"> to disrupt putatively coevolved mitonuclear genotypes in reciprocal F</w:t>
      </w:r>
      <w:r w:rsidRPr="004443A9">
        <w:rPr>
          <w:vertAlign w:val="subscript"/>
        </w:rPr>
        <w:t>2</w:t>
      </w:r>
      <w:r w:rsidRPr="004443A9">
        <w:t xml:space="preserve"> hybrids. We utilized interindividual variation in developmental rate among these hybrids as a proxy for fitness to assess the strength of selection imposed on the nuclear genome by alternate mitochondrial genotypes. Developmental rate varied among hybrid individuals, and in vitro ATP synthesis rates of mitochondria isolated from high-fitness hybrids were approximately two-fold greater than those of mitochondria isolated from low-fitness individuals. We then used Pool-seq to compare nuclear allele frequencies for high- or low-fitness hybrids. Significant biases for maternal alleles were detected on 5 (of 12) chromosomes in high-fitness individuals of both reciprocal crosses, whereas maternal biases were largely absent in low-fitness individuals. Therefore, the most fit hybrids were those with nuclear alleles that matched their mitochondrial genotype on these chromosomes, suggesting that mitonuclear effects underlie individual-level variation in </w:t>
      </w:r>
      <w:r w:rsidRPr="004443A9">
        <w:lastRenderedPageBreak/>
        <w:t>developmental rate and that intergenomic compatibility is critical for high fitness. We conclude that mitonuclear interactions can have profound impacts on both physiological performance and the evolutionary trajectory of the nuclear genome.</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Heinz, J., Schulze-Makuch, D., </w:t>
      </w:r>
      <w:r w:rsidR="00616347">
        <w:t xml:space="preserve">2020. </w:t>
      </w:r>
      <w:r w:rsidRPr="004443A9">
        <w:t>Thiophenes on Mars: Biotic or abiotic origin? Astrobiology 20, 552-561.</w:t>
      </w:r>
    </w:p>
    <w:p w:rsidR="00DB42FE" w:rsidRPr="004443A9" w:rsidRDefault="00DB42FE" w:rsidP="00616347">
      <w:pPr>
        <w:pStyle w:val="EndNoteBibliography"/>
        <w:ind w:left="360"/>
      </w:pPr>
      <w:r w:rsidRPr="004443A9">
        <w:t>https://doi.org/10.1089/ast.2019.2139</w:t>
      </w:r>
    </w:p>
    <w:p w:rsidR="00DB42FE" w:rsidRPr="004443A9" w:rsidRDefault="00DB42FE" w:rsidP="00616347">
      <w:pPr>
        <w:pStyle w:val="EndNoteBibliography"/>
        <w:spacing w:after="0"/>
        <w:ind w:left="360"/>
      </w:pPr>
      <w:r w:rsidRPr="004443A9">
        <w:t xml:space="preserve">The question whether organic compounds occur on Mars remained unanswered for decades. However, the recent discovery of various classes of organic matter in martian sediments by the Curiosity rover seems to strongly suggest that indigenous organic compounds exist on Mars. One intriguing group of detected organic compounds were thiophenes, which typically occur on Earth in kerogen, coal, and crude oil as well as in stromatolites and microfossils. Here we provide a brief synopsis of conceivable pathways for the generation and degradation of thiophenes on Mars. We show that the origin of thiophene derivatives can either be biotic or abiotic, for example, through sulfur incorporation in organic matter during early diagenesis. The potential of thiophenes to represent martian biomarkers is discussed as well as a correlation between abundances of thiophenes and sulfate-bearing minerals. Finally, this study provides suggestions for future investigations on Mars and in Earth-based laboratories to answer the question whether the martian thiophenes are of biological origin. </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Henne, A., Craw, D., Gagen, E.J., Southam, G., </w:t>
      </w:r>
      <w:r w:rsidR="00616347">
        <w:t xml:space="preserve">2020. </w:t>
      </w:r>
      <w:r w:rsidRPr="004443A9">
        <w:t>Contribution of bacterially-induced oxidation of Fe-silicates in iron-rich ore to laterite formation, Salobo IOCG mine, Brazil. Chemical Geology 539, 119499.</w:t>
      </w:r>
    </w:p>
    <w:p w:rsidR="00DB42FE" w:rsidRPr="004443A9" w:rsidRDefault="00DB42FE" w:rsidP="00616347">
      <w:pPr>
        <w:pStyle w:val="EndNoteBibliography"/>
        <w:ind w:left="360"/>
      </w:pPr>
      <w:r w:rsidRPr="004443A9">
        <w:t>http://www.sciencedirect.com/science/article/pii/S0009254120300383</w:t>
      </w:r>
    </w:p>
    <w:p w:rsidR="00DB42FE" w:rsidRPr="004443A9" w:rsidRDefault="00DB42FE" w:rsidP="00616347">
      <w:pPr>
        <w:pStyle w:val="EndNoteBibliography"/>
        <w:spacing w:after="0"/>
        <w:ind w:left="360"/>
      </w:pPr>
      <w:r w:rsidRPr="004443A9">
        <w:t xml:space="preserve">A diverse array of microorganisms, found within the uppermost lithosphere, can mediate the dissolution and precipitation of minerals and therefore contribute to the formation of laterites. The Salobo iron-oxide copper gold (IOCG) mine in Brazil is an ideal environment to examine the specific interaction between iron-oxidising bacteria and ferrous iron-bearing minerals during formation of a ~60 m thick laterite weathering profile. We identified bacteria using DNA extracted from samples in active weathering zones. Many of the identified species are capable of oxidising the ferrous iron and/or reduced sulphur that occurred in minerals associated with the unweathered rocks of the deposit. Fe-bearing phyllosilicates have been variably altered to clays along cleavage planes by bacterial iron oxidation. Accelerated weathering of fresh rocks in laboratory-scale leaching column experiments was conducted using an endemic </w:t>
      </w:r>
      <w:r w:rsidRPr="004443A9">
        <w:rPr>
          <w:i/>
        </w:rPr>
        <w:t>Acidithiobacillus ferrooxidans</w:t>
      </w:r>
      <w:r w:rsidRPr="004443A9">
        <w:t xml:space="preserve"> ssp. previously cultured from the Salobo mine. There were strong similarities between field samples from the Salobo laterite zone, and experimental leachate chemistry, associated precipitates, and fossilised bacteria remnants, particularly with respect to ferric (oxyhydr)oxide formation. Groundwaters in the Salobo laterite zone have circumneutral pH, whereas some iron-oxidising bacteria thrive in, and locally create, more acidic conditions (~pH 3). The leaching experiments showed that bacterially-facilitated silicate weathering, and bornite (Cu</w:t>
      </w:r>
      <w:r w:rsidRPr="004443A9">
        <w:rPr>
          <w:vertAlign w:val="subscript"/>
        </w:rPr>
        <w:t>5</w:t>
      </w:r>
      <w:r w:rsidRPr="004443A9">
        <w:t>FeS</w:t>
      </w:r>
      <w:r w:rsidRPr="004443A9">
        <w:rPr>
          <w:vertAlign w:val="subscript"/>
        </w:rPr>
        <w:t>4</w:t>
      </w:r>
      <w:r w:rsidRPr="004443A9">
        <w:t xml:space="preserve">) oxidation, can consume acid generated by bacterial oxidation reactions, creating an effective equilibrium with ferric (oxyhydr)oxide precipitation. However, the current acid neutralisation capacity of the ferricrete horizon at the top of the laterite zone was minimal. While bacterial activity promoted mineral oxidation and decomposition within </w:t>
      </w:r>
      <w:r w:rsidRPr="004443A9">
        <w:lastRenderedPageBreak/>
        <w:t>the thick laterite at the Salobo mine, related iron mobility is restricted to the micrometre scale by essentially instantaneous precipitation of ferric (oxyhydr)oxide that eventually transforms via inorganic dehydration to goethite and hematite. Similar processes to those described in this study have likely occurred during the formation of many other iron-rich laterites.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Hesselbo, S.P., Korte, C., Ullmann, C.V., Ebbesen, A.L., </w:t>
      </w:r>
      <w:r w:rsidR="00616347">
        <w:t xml:space="preserve">2020. </w:t>
      </w:r>
      <w:r w:rsidRPr="004443A9">
        <w:t>Carbon and oxygen isotope records from the southern Eurasian Seaway following the Triassic-Jurassic boundary: Parallel long-term enhanced carbon burial and seawater warming. Earth-Science Reviews 203, 103131.</w:t>
      </w:r>
    </w:p>
    <w:p w:rsidR="00DB42FE" w:rsidRPr="004443A9" w:rsidRDefault="00DB42FE" w:rsidP="00616347">
      <w:pPr>
        <w:pStyle w:val="EndNoteBibliography"/>
        <w:ind w:left="360"/>
      </w:pPr>
      <w:r w:rsidRPr="004443A9">
        <w:t>http://www.sciencedirect.com/science/article/pii/S0012825219306592</w:t>
      </w:r>
    </w:p>
    <w:p w:rsidR="00DB42FE" w:rsidRPr="004443A9" w:rsidRDefault="00DB42FE" w:rsidP="00616347">
      <w:pPr>
        <w:pStyle w:val="EndNoteBibliography"/>
        <w:spacing w:after="0"/>
        <w:ind w:left="360"/>
      </w:pPr>
      <w:r w:rsidRPr="004443A9">
        <w:t>Fossil shells of benthos and nektobenthos have been shown to be faithful recorders of seawater carbon- and oxygen-isotope geochemistry, and thus also useful to track the relationship between carbon cycle and palaeotemperature. In this study we present an extensive dataset from Lower Jurassic (Hettangian and lower Sinemurian) mollusc and brachiopod hard parts collected from biostratigraphically well-calibrated UK coastal outcrops (Bristol Channel and Hebrides basins). These basins lay palaeogeographically in the southern part of the Laurasian Seaway that connected the Tethys and Boreal oceans. All samples have been subject to screening for diagenesis on the basis of elemental composition, light microscopy, and SEM observations. In the case of some localities within the Hebrides Basin, alteration by hydrothermal systems around Paleogene intrusions has led to re-setting of carbonate oxygen isotopes, but the original carbon isotope values from the shells are largely preserved. Above the prominent and apparently short-lived, ~3 per mil δ</w:t>
      </w:r>
      <w:r w:rsidRPr="004443A9">
        <w:rPr>
          <w:vertAlign w:val="superscript"/>
        </w:rPr>
        <w:t>13</w:t>
      </w:r>
      <w:r w:rsidRPr="004443A9">
        <w:t>C</w:t>
      </w:r>
      <w:r w:rsidRPr="004443A9">
        <w:rPr>
          <w:vertAlign w:val="subscript"/>
        </w:rPr>
        <w:t>carb</w:t>
      </w:r>
      <w:r w:rsidRPr="004443A9">
        <w:t xml:space="preserve"> amplitude positive carbon-isotope excursion (CIE) that occurs immediately above the Triassic-Jurasic (T-J) boundary (in the </w:t>
      </w:r>
      <w:r w:rsidRPr="004443A9">
        <w:rPr>
          <w:i/>
        </w:rPr>
        <w:t>tilmanni</w:t>
      </w:r>
      <w:r w:rsidRPr="004443A9">
        <w:t xml:space="preserve"> ammonite biozone), a pronounced negative CIE (the so-called Main Negative CIE) spans the entire Hettangian Stage. At the Hettangian-Sinemurian boundary, and through the lower Sinemurian, the carbon-isotope values of the skeletal carbonate again trend towards progressively more positive values, but representing a time of several million years. The heaviest δ</w:t>
      </w:r>
      <w:r w:rsidRPr="004443A9">
        <w:rPr>
          <w:vertAlign w:val="superscript"/>
        </w:rPr>
        <w:t>13</w:t>
      </w:r>
      <w:r w:rsidRPr="004443A9">
        <w:t>C</w:t>
      </w:r>
      <w:r w:rsidRPr="004443A9">
        <w:rPr>
          <w:vertAlign w:val="subscript"/>
        </w:rPr>
        <w:t>carb</w:t>
      </w:r>
      <w:r w:rsidRPr="004443A9">
        <w:t xml:space="preserve"> values of about +4.3 per mil are evident towards the top of the lower Sinemurian, and are comparable with values observed from the </w:t>
      </w:r>
      <w:r w:rsidRPr="004443A9">
        <w:rPr>
          <w:i/>
        </w:rPr>
        <w:t>tilmanni</w:t>
      </w:r>
      <w:r w:rsidRPr="004443A9">
        <w:t xml:space="preserve"> Zone, and from the lower Toarcian, higher in the Jurassic. This long-term positive hump, which confirms trends derived from bulk organic matter carbon-isotope records, is supporting evidence of prolonged enhanced organic carbon burial that is inferred to have occurred in the extensive system of lacustrine and marine rifts that traversed a fragmenting Pangaea after emplacement of the Central Atlantic Magmatic Province. In parallel, oxygen-isotope values of the skeletal carbonate show a continuous downward trend from the lower part of the Hettangian (~ −1 per mil δ</w:t>
      </w:r>
      <w:r w:rsidRPr="004443A9">
        <w:rPr>
          <w:vertAlign w:val="superscript"/>
        </w:rPr>
        <w:t>18</w:t>
      </w:r>
      <w:r w:rsidRPr="004443A9">
        <w:t>O</w:t>
      </w:r>
      <w:r w:rsidRPr="004443A9">
        <w:rPr>
          <w:vertAlign w:val="subscript"/>
        </w:rPr>
        <w:t>carb</w:t>
      </w:r>
      <w:r w:rsidRPr="004443A9">
        <w:t xml:space="preserve"> in the </w:t>
      </w:r>
      <w:r w:rsidRPr="004443A9">
        <w:rPr>
          <w:i/>
        </w:rPr>
        <w:t>planorbis</w:t>
      </w:r>
      <w:r w:rsidRPr="004443A9">
        <w:t xml:space="preserve"> Zone) to the top of the lower Sinemurian (~ −2.5 per mil δ</w:t>
      </w:r>
      <w:r w:rsidRPr="004443A9">
        <w:rPr>
          <w:vertAlign w:val="superscript"/>
        </w:rPr>
        <w:t>18</w:t>
      </w:r>
      <w:r w:rsidRPr="004443A9">
        <w:t>O</w:t>
      </w:r>
      <w:r w:rsidRPr="004443A9">
        <w:rPr>
          <w:vertAlign w:val="subscript"/>
        </w:rPr>
        <w:t>carb</w:t>
      </w:r>
      <w:r w:rsidRPr="004443A9">
        <w:t xml:space="preserve"> in the higher </w:t>
      </w:r>
      <w:r w:rsidRPr="004443A9">
        <w:rPr>
          <w:i/>
        </w:rPr>
        <w:t>turneri</w:t>
      </w:r>
      <w:r w:rsidRPr="004443A9">
        <w:t xml:space="preserve"> Zone). Oxygen-isotope values may be interpreted as due to gradually increasing palaeotemperature, and/or addition of a meteoric or cryospheric water component; in the case of the Laurasian Seaway, palaeoceanographic and palaeoecological considerations point towards a dominant palaeotemperature signal. Consequently, any atmospheric carbon-dioxide drawdown effect on global palaeotemperatures, as suggested by progressively increasing δ</w:t>
      </w:r>
      <w:r w:rsidRPr="004443A9">
        <w:rPr>
          <w:vertAlign w:val="superscript"/>
        </w:rPr>
        <w:t>13</w:t>
      </w:r>
      <w:r w:rsidRPr="004443A9">
        <w:t>C</w:t>
      </w:r>
      <w:r w:rsidRPr="004443A9">
        <w:rPr>
          <w:vertAlign w:val="subscript"/>
        </w:rPr>
        <w:t>carb</w:t>
      </w:r>
      <w:r w:rsidRPr="004443A9">
        <w:t xml:space="preserve"> values, and assuming a constant silicate weathering sink, was more than counterbalanced in the seaway by regional processes that led to significantly warmer bottom water temperatures.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Hice, S.A., Varona, M., Brost, A., Dai, F., Anderson, J.L., Brehm-Stecher, B.F., </w:t>
      </w:r>
      <w:r w:rsidR="00616347">
        <w:t xml:space="preserve">2020. </w:t>
      </w:r>
      <w:r w:rsidRPr="004443A9">
        <w:t>Magnetic ionic liquids: interactions with bacterial cells, behavior in aqueous suspension, and broader applications. Analytical and Bioanalytical Chemistry 412, 1741-1755.</w:t>
      </w:r>
    </w:p>
    <w:p w:rsidR="00DB42FE" w:rsidRPr="004443A9" w:rsidRDefault="00DB42FE" w:rsidP="00616347">
      <w:pPr>
        <w:pStyle w:val="EndNoteBibliography"/>
        <w:ind w:left="360"/>
      </w:pPr>
      <w:r w:rsidRPr="004443A9">
        <w:lastRenderedPageBreak/>
        <w:t>https://doi.org/10.1007/s00216-020-02457-3</w:t>
      </w:r>
    </w:p>
    <w:p w:rsidR="00DB42FE" w:rsidRPr="004443A9" w:rsidRDefault="00DB42FE" w:rsidP="00616347">
      <w:pPr>
        <w:pStyle w:val="EndNoteBibliography"/>
        <w:spacing w:after="0"/>
        <w:ind w:left="360"/>
      </w:pPr>
      <w:r w:rsidRPr="004443A9">
        <w:t xml:space="preserve">Previously, we demonstrated capture and concentration of </w:t>
      </w:r>
      <w:r w:rsidRPr="004443A9">
        <w:rPr>
          <w:i/>
        </w:rPr>
        <w:t>Salmonella enterica</w:t>
      </w:r>
      <w:r w:rsidRPr="004443A9">
        <w:t xml:space="preserve"> subspecies </w:t>
      </w:r>
      <w:r w:rsidRPr="004443A9">
        <w:rPr>
          <w:i/>
        </w:rPr>
        <w:t>enterica</w:t>
      </w:r>
      <w:r w:rsidRPr="004443A9">
        <w:t xml:space="preserve"> ser. Typhimurium using magnetic ionic liquids (MILs), followed by rapid isothermal detection of captured cells via recombinase polymerase amplification (RPA). Here, we report work intended to explore the broader potential of MILs as novel pre-analytical capture reagents in food safety and related applications. Specifically, we evaluated the capacity of the ([P</w:t>
      </w:r>
      <w:r w:rsidRPr="004443A9">
        <w:rPr>
          <w:vertAlign w:val="subscript"/>
        </w:rPr>
        <w:t>66614</w:t>
      </w:r>
      <w:r w:rsidRPr="004443A9">
        <w:rPr>
          <w:vertAlign w:val="superscript"/>
        </w:rPr>
        <w:t>+</w:t>
      </w:r>
      <w:r w:rsidRPr="004443A9">
        <w:t>][Ni(hfacac)</w:t>
      </w:r>
      <w:r w:rsidRPr="004443A9">
        <w:rPr>
          <w:vertAlign w:val="subscript"/>
        </w:rPr>
        <w:t>3</w:t>
      </w:r>
      <w:r w:rsidRPr="004443A9">
        <w:rPr>
          <w:vertAlign w:val="superscript"/>
        </w:rPr>
        <w:t>−</w:t>
      </w:r>
      <w:r w:rsidRPr="004443A9">
        <w:t xml:space="preserve">]) (“Ni(II)”) MIL to bind a wider range of human pathogens using a panel of </w:t>
      </w:r>
      <w:r w:rsidRPr="004443A9">
        <w:rPr>
          <w:i/>
        </w:rPr>
        <w:t>Salmonella</w:t>
      </w:r>
      <w:r w:rsidRPr="004443A9">
        <w:t xml:space="preserve"> and </w:t>
      </w:r>
      <w:r w:rsidRPr="004443A9">
        <w:rPr>
          <w:i/>
        </w:rPr>
        <w:t>Escherichia coli</w:t>
      </w:r>
      <w:r w:rsidRPr="004443A9">
        <w:t xml:space="preserve"> O157:H7 isolates, including a “deep rough” strain of </w:t>
      </w:r>
      <w:r w:rsidRPr="004443A9">
        <w:rPr>
          <w:i/>
        </w:rPr>
        <w:t>S</w:t>
      </w:r>
      <w:r w:rsidRPr="004443A9">
        <w:t xml:space="preserve">. Minnesota. We extended this exploration further to include other members of the family </w:t>
      </w:r>
      <w:r w:rsidRPr="004443A9">
        <w:rPr>
          <w:i/>
        </w:rPr>
        <w:t>Enterobacteriaceae</w:t>
      </w:r>
      <w:r w:rsidRPr="004443A9">
        <w:t xml:space="preserve"> of food safety and clinical or agricultural significance. Both the Ni(II) MIL and the ([P</w:t>
      </w:r>
      <w:r w:rsidRPr="004443A9">
        <w:rPr>
          <w:vertAlign w:val="subscript"/>
        </w:rPr>
        <w:t>66614</w:t>
      </w:r>
      <w:r w:rsidRPr="004443A9">
        <w:rPr>
          <w:vertAlign w:val="superscript"/>
        </w:rPr>
        <w:t>+</w:t>
      </w:r>
      <w:r w:rsidRPr="004443A9">
        <w:t>][Dy(hfacac)</w:t>
      </w:r>
      <w:r w:rsidRPr="004443A9">
        <w:rPr>
          <w:vertAlign w:val="subscript"/>
        </w:rPr>
        <w:t>4</w:t>
      </w:r>
      <w:r w:rsidRPr="004443A9">
        <w:rPr>
          <w:vertAlign w:val="superscript"/>
        </w:rPr>
        <w:t>−</w:t>
      </w:r>
      <w:r w:rsidRPr="004443A9">
        <w:t xml:space="preserve">]) (“Dy(III)”) MIL were evaluated for their effects on cell viability and structure-function relationships behind observed antimicrobial activities of the Dy(III) MIL were determined. Next, we used flow imaging microscopy (FIM) of Ni(II) MIL dispersions made in model liquid media to examine the impact of increasing ionic complexity on MIL droplet properties as a first step towards understanding the impact of suspension medium properties on MIL dispersion behavior. Finally, we used FIM to examine interactions between the Ni(II) MIL and </w:t>
      </w:r>
      <w:r w:rsidRPr="004443A9">
        <w:rPr>
          <w:i/>
        </w:rPr>
        <w:t>Serratia marcescens</w:t>
      </w:r>
      <w:r w:rsidRPr="004443A9">
        <w:t>, providing insights into how the MIL may act to capture and concentrate Gram-negative bacteria in aqueous samples, including food suspensions. Together, our results provide further characterization of bacteria-MIL interactions and support the broader utility of the Ni(II) MIL as a cell-friendly capture reagent for sample preparation prior to cultural or molecular analyses.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Hickman-Lewis, K., Cavalazzi, B., Sorieul, S., Gautret, P., Foucher, F., Whitehouse, M.J., Jeon, H., Georgelin, T., Cockell, C.S., Westall, F., </w:t>
      </w:r>
      <w:r w:rsidR="00616347">
        <w:t xml:space="preserve">2020. </w:t>
      </w:r>
      <w:r w:rsidRPr="004443A9">
        <w:t>Metallomics in deep time and the influence of ocean chemistry on the metabolic landscapes of Earth’s earliest ecosystems. Scientific Reports 10, 4965.</w:t>
      </w:r>
    </w:p>
    <w:p w:rsidR="00DB42FE" w:rsidRPr="004443A9" w:rsidRDefault="00DB42FE" w:rsidP="00616347">
      <w:pPr>
        <w:pStyle w:val="EndNoteBibliography"/>
        <w:ind w:left="360"/>
      </w:pPr>
      <w:r w:rsidRPr="004443A9">
        <w:t>https://doi.org/10.1038/s41598-020-61774-w</w:t>
      </w:r>
    </w:p>
    <w:p w:rsidR="00DB42FE" w:rsidRPr="004443A9" w:rsidRDefault="00DB42FE" w:rsidP="00616347">
      <w:pPr>
        <w:pStyle w:val="EndNoteBibliography"/>
        <w:spacing w:after="0"/>
        <w:ind w:left="360"/>
      </w:pPr>
      <w:r w:rsidRPr="004443A9">
        <w:t>Modern biological dependency on trace elements is proposed to be a consequence of their enrichment in the habitats of early life together with Earth’s evolving physicochemical conditions; the resulting metallic biological complement is termed the metallome. Herein, we detail a protocol for describing metallomes in deep time, with applications to the earliest fossil record. Our approach extends the metallome record by more than 3 Ga and provides a novel, non-destructive method of estimating biogenicity in the absence of cellular preservation. Using microbeam particle-induced X-ray emission (µPIXE), we spatially quantify transition metals and metalloids within organic material from 3.33 billion-year-old cherts of the Barberton greenstone belt, and demonstrate that elements key to anaerobic prokaryotic molecular nanomachines, including Fe, V, Ni, As and Co, are enriched within carbonaceous material. Moreover, Mo and Zn, likely incorporated into enzymes only after the Great Oxygenation Event, are either absent or present at concentrations below the limit of detection of µPIXE, suggesting minor biological utilisation in this environmental setting. Scanning and transmission electron microscopy demonstrates that metal enrichments do not arise from accumulation in nanomineral phases and thus unambiguously reflect the primary composition of the carbonaceous material. This carbonaceous material also has δ</w:t>
      </w:r>
      <w:r w:rsidRPr="004443A9">
        <w:rPr>
          <w:vertAlign w:val="superscript"/>
        </w:rPr>
        <w:t>13</w:t>
      </w:r>
      <w:r w:rsidRPr="004443A9">
        <w:t>C between −41.3‰ and 0.03‰, dominantly −21.0‰ to −11.5‰, consistent with biological fractionation and mostly within a restricted range inconsistent with abiotic processes. Considering spatially quantified trace metal enrichments and negative δ</w:t>
      </w:r>
      <w:r w:rsidRPr="004443A9">
        <w:rPr>
          <w:vertAlign w:val="superscript"/>
        </w:rPr>
        <w:t>13</w:t>
      </w:r>
      <w:r w:rsidRPr="004443A9">
        <w:t xml:space="preserve">C fractionations together, we propose that, although lacking cellular preservation, this organic material has biological origins and, moreover, that its precursor metabolism may be estimated from the fossilised “palaeo-metallome”. Enriched Fe, V, Ni and Co, </w:t>
      </w:r>
      <w:r w:rsidRPr="004443A9">
        <w:lastRenderedPageBreak/>
        <w:t>together with petrographic context, suggests that this kerogen reflects the remnants of a lithotrophic or organotrophic consortium cycling methane or nitrogen. Palaeo-metallome compositions could be used to deduce the metabolic networks of Earth’s earliest ecosystems and, potentially, as a biosignature for evaluating the origin of preserved organic materials found on Mars.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Hoffmann, K., Bienhold, C., Buttigieg, P.L., Knittel, K., Laso-Pérez, R., Rapp, J.Z., Boetius, A., Offre, P., </w:t>
      </w:r>
      <w:r w:rsidR="00616347">
        <w:t xml:space="preserve">2020. </w:t>
      </w:r>
      <w:r w:rsidRPr="004443A9">
        <w:t xml:space="preserve">Diversity and metabolism of </w:t>
      </w:r>
      <w:r w:rsidRPr="004443A9">
        <w:rPr>
          <w:i/>
        </w:rPr>
        <w:t xml:space="preserve">Woeseiales </w:t>
      </w:r>
      <w:r w:rsidRPr="004443A9">
        <w:t>bacteria, global members of marine sediment communities. The ISME Journal 14, 1042-1056.</w:t>
      </w:r>
    </w:p>
    <w:p w:rsidR="00DB42FE" w:rsidRPr="004443A9" w:rsidRDefault="00DB42FE" w:rsidP="00616347">
      <w:pPr>
        <w:pStyle w:val="EndNoteBibliography"/>
        <w:ind w:left="360"/>
      </w:pPr>
      <w:r w:rsidRPr="004443A9">
        <w:t>https://doi.org/10.1038/s41396-020-0588-4</w:t>
      </w:r>
    </w:p>
    <w:p w:rsidR="00DB42FE" w:rsidRPr="004443A9" w:rsidRDefault="00DB42FE" w:rsidP="00616347">
      <w:pPr>
        <w:pStyle w:val="EndNoteBibliography"/>
        <w:spacing w:after="0"/>
        <w:ind w:left="360"/>
      </w:pPr>
      <w:r w:rsidRPr="004443A9">
        <w:t xml:space="preserve">Surveys of 16S rRNA gene sequences derived from marine sediments have indicated that a widely distributed group of </w:t>
      </w:r>
      <w:r w:rsidRPr="004443A9">
        <w:rPr>
          <w:i/>
        </w:rPr>
        <w:t>Gammaproteobacteria</w:t>
      </w:r>
      <w:r w:rsidRPr="004443A9">
        <w:t xml:space="preserve">, named “JTB255-Marine Benthic Group” (now the candidate order </w:t>
      </w:r>
      <w:r w:rsidRPr="004443A9">
        <w:rPr>
          <w:i/>
        </w:rPr>
        <w:t>Woeseiales</w:t>
      </w:r>
      <w:r w:rsidRPr="004443A9">
        <w:t xml:space="preserve">), accounts for 1–22% of the retrieved sequences. Despite their ubiquity in seafloor communities, little is known about their distribution and specific ecological niches in the deep sea, which constitutes the largest biome globally. Here, we characterized the phylogeny, environmental distribution patterns, abundance, and metabolic potential of </w:t>
      </w:r>
      <w:r w:rsidRPr="004443A9">
        <w:rPr>
          <w:i/>
        </w:rPr>
        <w:t>Woeseiales</w:t>
      </w:r>
      <w:r w:rsidRPr="004443A9">
        <w:t xml:space="preserve"> bacteria with a focus on representatives from the deep sea. From a phylogenetic analysis of publicly available 16S rRNA gene sequences (≥1400 bp, </w:t>
      </w:r>
      <w:r w:rsidRPr="004443A9">
        <w:rPr>
          <w:i/>
        </w:rPr>
        <w:t>n</w:t>
      </w:r>
      <w:r w:rsidRPr="004443A9">
        <w:t xml:space="preserve"> = 994), we identified lineages of </w:t>
      </w:r>
      <w:r w:rsidRPr="004443A9">
        <w:rPr>
          <w:i/>
        </w:rPr>
        <w:t>Woeseiales</w:t>
      </w:r>
      <w:r w:rsidRPr="004443A9">
        <w:t xml:space="preserve"> with greater prevalence in the deep sea than in coastal environments, a pattern corroborated by the distribution of 16S oligotypes recovered from 28 globally distributed sediment samples. Cell counts revealed that </w:t>
      </w:r>
      <w:r w:rsidRPr="004443A9">
        <w:rPr>
          <w:i/>
        </w:rPr>
        <w:t>Woeseiales</w:t>
      </w:r>
      <w:r w:rsidRPr="004443A9">
        <w:t xml:space="preserve"> bacteria accounted for 5 ± 2% of all microbial cells in deep-sea surface sediments at 23 globally distributed sites. Comparative analyses of a genome, metagenome bins, and single-cell genomes suggested that members of the corresponding clades are likely to grow on proteinaceous matter, potentially derived from detrital cell membranes, cell walls, and other organic remnants in marine sediments.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Holm, S., Walz, J., Horn, F., Yang, S., Grigoriev, M.N., Wagner, D., Knoblauch, C., Liebner, S., </w:t>
      </w:r>
      <w:r w:rsidR="00616347">
        <w:t xml:space="preserve">2020. </w:t>
      </w:r>
      <w:r w:rsidRPr="004443A9">
        <w:t>Methanogenic response to long-term permafrost thaw is determined by paleoenvironment. FEMS Microbiology Ecology 96, fiaa021.</w:t>
      </w:r>
    </w:p>
    <w:p w:rsidR="00DB42FE" w:rsidRPr="004443A9" w:rsidRDefault="00DB42FE" w:rsidP="00616347">
      <w:pPr>
        <w:pStyle w:val="EndNoteBibliography"/>
        <w:ind w:left="360"/>
      </w:pPr>
      <w:r w:rsidRPr="004443A9">
        <w:t>https://doi.org/10.1093/femsec/fiaa021</w:t>
      </w:r>
    </w:p>
    <w:p w:rsidR="00DB42FE" w:rsidRPr="004443A9" w:rsidRDefault="00DB42FE" w:rsidP="00616347">
      <w:pPr>
        <w:pStyle w:val="EndNoteBibliography"/>
        <w:spacing w:after="0"/>
        <w:ind w:left="360"/>
      </w:pPr>
      <w:r w:rsidRPr="004443A9">
        <w:t>Methane production in thawing permafrost can be substantial, yet often evolves after long lag phases or is even lacking. A central question is to which extent the production of methane after permafrost thaw is determined by the initial methanogenic community. We quantified the production of methane relative to carbon dioxide (CO</w:t>
      </w:r>
      <w:r w:rsidRPr="004443A9">
        <w:rPr>
          <w:vertAlign w:val="subscript"/>
        </w:rPr>
        <w:t>2</w:t>
      </w:r>
      <w:r w:rsidRPr="004443A9">
        <w:t>) and enumerated methanogenic (</w:t>
      </w:r>
      <w:r w:rsidRPr="004443A9">
        <w:rPr>
          <w:i/>
        </w:rPr>
        <w:t>mcrA</w:t>
      </w:r>
      <w:r w:rsidRPr="004443A9">
        <w:t>) gene copies in long-term (2–7 years) anoxic incubations at 4 °C using interglacial and glacial permafrost samples of Holocene and Pleistocene, including Eemian, origin. Changes in archaeal community composition were determined by sequencing of the archaeal 16S rRNA gene. Long-term thaw stimulated methanogenesis where methanogens initially dominated the archaeal community. Deposits of interstadial and interglacial (Eemian) origin, formed under higher temperatures and precipitation, displayed the greatest response to thaw. At the end of the incubations, a substantial shift in methanogenic community composition and a relative increase in hydrogenotrophic methanogens had occurred except for Eemian deposits in which a high abundance of potential acetoclastic methanogens were present. This study shows that only anaerobic CO</w:t>
      </w:r>
      <w:r w:rsidRPr="004443A9">
        <w:rPr>
          <w:vertAlign w:val="subscript"/>
        </w:rPr>
        <w:t>2</w:t>
      </w:r>
      <w:r w:rsidRPr="004443A9">
        <w:t xml:space="preserve"> production but not methane production correlates significantly with carbon and nitrogen content and that the </w:t>
      </w:r>
      <w:r w:rsidRPr="004443A9">
        <w:lastRenderedPageBreak/>
        <w:t>methanogenic response to permafrost thaw is mainly constrained by the paleoenvironmental conditions during soil formation.</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Hou, L., Ma, W., Luo, X., Tao, S., Guan, P., Liu, J., </w:t>
      </w:r>
      <w:r w:rsidR="00616347">
        <w:t xml:space="preserve">2020. </w:t>
      </w:r>
      <w:r w:rsidRPr="004443A9">
        <w:t xml:space="preserve">Chemical structure changes of lacustrine Type-II kerogen under semi-open pyrolysis as investigated by solid-state </w:t>
      </w:r>
      <w:r w:rsidRPr="004443A9">
        <w:rPr>
          <w:vertAlign w:val="superscript"/>
        </w:rPr>
        <w:t>13</w:t>
      </w:r>
      <w:r w:rsidRPr="004443A9">
        <w:t>C NMR and FT-IR spectroscopy. Marine and Petroleum Geology 116, 104348.</w:t>
      </w:r>
    </w:p>
    <w:p w:rsidR="00DB42FE" w:rsidRPr="004443A9" w:rsidRDefault="00DB42FE" w:rsidP="00616347">
      <w:pPr>
        <w:pStyle w:val="EndNoteBibliography"/>
        <w:ind w:left="360"/>
      </w:pPr>
      <w:r w:rsidRPr="004443A9">
        <w:t>http://www.sciencedirect.com/science/article/pii/S0264817220301318</w:t>
      </w:r>
    </w:p>
    <w:p w:rsidR="00DB42FE" w:rsidRPr="004443A9" w:rsidRDefault="00DB42FE" w:rsidP="00616347">
      <w:pPr>
        <w:pStyle w:val="EndNoteBibliography"/>
        <w:spacing w:after="0"/>
        <w:ind w:left="360"/>
      </w:pPr>
      <w:r w:rsidRPr="004443A9">
        <w:t xml:space="preserve">At present, there is a lack of research on the structural changes of lacustrine Type-II kerogen, which is regionally distributed but has significant potential for hydrocarbon resources. In our previous work, a series of non-hydrous, temperature-based semi-open pyrolysis experiments have been performed on the Chang 7 oil shale to simulate the thermal maturation (from 0.53 %Ro to 1.68 %Ro) of lacustrine Type-II kerogen. In that work, the parallel reaction pathway for kerogen decomposition was supported. The aim of this work is to reveal the structural changes of the post-pyrolysis kerogen. Integrated analysis including elemental analysis, programmed pyrolysis (Rock-Eval), Fourier transform infrared (FT-IR) spectroscopy, and solid-state </w:t>
      </w:r>
      <w:r w:rsidRPr="004443A9">
        <w:rPr>
          <w:vertAlign w:val="superscript"/>
        </w:rPr>
        <w:t>13</w:t>
      </w:r>
      <w:r w:rsidRPr="004443A9">
        <w:t>C nuclear magnetic resonance (</w:t>
      </w:r>
      <w:r w:rsidRPr="004443A9">
        <w:rPr>
          <w:vertAlign w:val="superscript"/>
        </w:rPr>
        <w:t>13</w:t>
      </w:r>
      <w:r w:rsidRPr="004443A9">
        <w:t>C NMR) spectroscopy were conducted on the native unheated and post-pyrolysis rocks and kerogens. Based on the compositional features of the hydrocarbon products, structural changes of the post-pyrolysis kerogen were investigated, and insights on the initial chemical structure of the kerogen were also obtained. Before the peak hydrocarbon-generating stage (</w:t>
      </w:r>
      <w:r w:rsidRPr="004443A9">
        <w:rPr>
          <w:i/>
        </w:rPr>
        <w:t>R</w:t>
      </w:r>
      <w:r w:rsidRPr="004443A9">
        <w:rPr>
          <w:vertAlign w:val="subscript"/>
        </w:rPr>
        <w:t>o</w:t>
      </w:r>
      <w:r w:rsidRPr="004443A9">
        <w:t xml:space="preserve"> &lt; 0.6%), defunctionalization of oxygen-containing functional groups, which leads to the generation of water, CO</w:t>
      </w:r>
      <w:r w:rsidRPr="004443A9">
        <w:rPr>
          <w:vertAlign w:val="subscript"/>
        </w:rPr>
        <w:t>2</w:t>
      </w:r>
      <w:r w:rsidRPr="004443A9">
        <w:t xml:space="preserve"> and NSOs, occurs simultaneously with the detachment of short aliphatic side chains and small aromatic rings, which leads to the generation of volatile fractions (C</w:t>
      </w:r>
      <w:r w:rsidRPr="004443A9">
        <w:rPr>
          <w:vertAlign w:val="subscript"/>
        </w:rPr>
        <w:t>6</w:t>
      </w:r>
      <w:r w:rsidRPr="004443A9">
        <w:t>–C</w:t>
      </w:r>
      <w:r w:rsidRPr="004443A9">
        <w:rPr>
          <w:vertAlign w:val="subscript"/>
        </w:rPr>
        <w:t>14</w:t>
      </w:r>
      <w:r w:rsidRPr="004443A9">
        <w:t>, C</w:t>
      </w:r>
      <w:r w:rsidRPr="004443A9">
        <w:rPr>
          <w:vertAlign w:val="subscript"/>
        </w:rPr>
        <w:t>15+</w:t>
      </w:r>
      <w:r w:rsidRPr="004443A9">
        <w:t xml:space="preserve"> sat and C</w:t>
      </w:r>
      <w:r w:rsidRPr="004443A9">
        <w:rPr>
          <w:vertAlign w:val="subscript"/>
        </w:rPr>
        <w:t>15+</w:t>
      </w:r>
      <w:r w:rsidRPr="004443A9">
        <w:t xml:space="preserve"> aro). This process suggests that the Chang7 kerogen is highly branched. During the peak hydrocarbon-generating stage (0.6–1.09 %</w:t>
      </w:r>
      <w:r w:rsidRPr="004443A9">
        <w:rPr>
          <w:i/>
        </w:rPr>
        <w:t>R</w:t>
      </w:r>
      <w:r w:rsidRPr="004443A9">
        <w:rPr>
          <w:vertAlign w:val="subscript"/>
        </w:rPr>
        <w:t>o</w:t>
      </w:r>
      <w:r w:rsidRPr="004443A9">
        <w:t>), the concurrent breakage of weak cross-link bonds and long aliphatic chains lead to the simultaneous peak generation of liquid hydrocarbons and NSOs. This reflects the highly cross-linked features of the Chang7 kerogen. After the peak hydrocarbon-generating stage (</w:t>
      </w:r>
      <w:r w:rsidRPr="004443A9">
        <w:rPr>
          <w:i/>
        </w:rPr>
        <w:t>R</w:t>
      </w:r>
      <w:r w:rsidRPr="004443A9">
        <w:rPr>
          <w:vertAlign w:val="subscript"/>
        </w:rPr>
        <w:t>o</w:t>
      </w:r>
      <w:r w:rsidRPr="004443A9">
        <w:t xml:space="preserve"> &gt; 1.09%), the reactions in the previous two stages produce a highly aromatic kerogen. The increased aromaticity of the highly matured kerogen is most likely to be caused by aromatization or dehydrogenation of hydroaromatics and coking of aromatic bitumen, not by fusing or condensation of aromatic rings.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Hou, M., Zha, M., Ding, X., Imin, A., Lai, R., Pan, S., Ding, Y., </w:t>
      </w:r>
      <w:r w:rsidR="00616347">
        <w:t xml:space="preserve">2020. </w:t>
      </w:r>
      <w:r w:rsidRPr="004443A9">
        <w:t>A prediction model of vitrinite reflectance for suppression of organic-matter maturation by overpressure. The Journal of Geology 128, 189-200.</w:t>
      </w:r>
    </w:p>
    <w:p w:rsidR="00DB42FE" w:rsidRPr="004443A9" w:rsidRDefault="00DB42FE" w:rsidP="00616347">
      <w:pPr>
        <w:pStyle w:val="EndNoteBibliography"/>
        <w:ind w:left="360"/>
      </w:pPr>
      <w:r w:rsidRPr="004443A9">
        <w:t>https://doi.org/10.1086/707237</w:t>
      </w:r>
    </w:p>
    <w:p w:rsidR="00DB42FE" w:rsidRPr="004443A9" w:rsidRDefault="00DB42FE" w:rsidP="00616347">
      <w:pPr>
        <w:pStyle w:val="EndNoteBibliography"/>
        <w:spacing w:after="0"/>
        <w:ind w:left="360"/>
      </w:pPr>
      <w:r w:rsidRPr="004443A9">
        <w:t xml:space="preserve">Vitrinite reflectance is the most commonly used index in the study of source rock evaluation, diagenetic stage division, basin simulation, and diagenesis. Because data on vitrinite reflectance are limited, many prediction models have been proposed to address this problem. However, these models may fail to predict vitrinite reflectance effectively in overpressured basins because overpressure can suppress organic-matter maturation. Overpressure appears to reduce the degree of disorder in the hydrocarbon generation reaction system and to increase the mechanical work against the force of pore fluid that occurs as the volume of the activated complex increases, thereby reducing the preexponential factor and increasing the activation energy of the hydrocarbon generation reaction; therefore, organic-matter maturation is slowed. In this article, the reasons for </w:t>
      </w:r>
      <w:r w:rsidRPr="004443A9">
        <w:lastRenderedPageBreak/>
        <w:t>the abnormally low vitrinite reflectance in the overpressured system were analyzed, which revealed that overpressure is interpreted as significantly suppressing organic-matter maturation. A new prediction model for vitrinite reflectance, A-E</w:t>
      </w:r>
      <w:r w:rsidRPr="004443A9">
        <w:rPr>
          <w:vertAlign w:val="subscript"/>
        </w:rPr>
        <w:t>a</w:t>
      </w:r>
      <w:r w:rsidRPr="004443A9">
        <w:t>-R</w:t>
      </w:r>
      <w:r w:rsidRPr="004443A9">
        <w:rPr>
          <w:vertAlign w:val="subscript"/>
        </w:rPr>
        <w:t>o</w:t>
      </w:r>
      <w:r w:rsidRPr="004443A9">
        <w:t>, is proposed that accounts for the suppression of overpressure in organic-matter maturation based on data from wells in the Fukang Sag in the Junggar Basin, northwestern China. The overpressure is modeled by introducing a preexponential factor and activation energy in this model. Based on measured drilling and geochemical data and simulated data, the overpressure controlling factors were optimized by a nonlinear constrained programming method and assigned 151.23 MPa and 30.65 kJ·mol</w:t>
      </w:r>
      <w:r w:rsidRPr="004443A9">
        <w:rPr>
          <w:vertAlign w:val="superscript"/>
        </w:rPr>
        <w:t>−1</w:t>
      </w:r>
      <w:r w:rsidRPr="004443A9">
        <w:t>·MPa</w:t>
      </w:r>
      <w:r w:rsidRPr="004443A9">
        <w:rPr>
          <w:vertAlign w:val="superscript"/>
        </w:rPr>
        <w:t>−1</w:t>
      </w:r>
      <w:r w:rsidRPr="004443A9">
        <w:t>, respectively. Prediction models including A-E</w:t>
      </w:r>
      <w:r w:rsidRPr="004443A9">
        <w:rPr>
          <w:vertAlign w:val="subscript"/>
        </w:rPr>
        <w:t>a</w:t>
      </w:r>
      <w:r w:rsidRPr="004443A9">
        <w:t>-R</w:t>
      </w:r>
      <w:r w:rsidRPr="004443A9">
        <w:rPr>
          <w:vertAlign w:val="subscript"/>
        </w:rPr>
        <w:t>o</w:t>
      </w:r>
      <w:r w:rsidRPr="004443A9">
        <w:t xml:space="preserve"> were applied to wells Fu10 and Mu7 of Fukang Sag. The reflectance values predicted by the model A-E</w:t>
      </w:r>
      <w:r w:rsidRPr="004443A9">
        <w:rPr>
          <w:vertAlign w:val="subscript"/>
        </w:rPr>
        <w:t>a</w:t>
      </w:r>
      <w:r w:rsidRPr="004443A9">
        <w:t>-R</w:t>
      </w:r>
      <w:r w:rsidRPr="004443A9">
        <w:rPr>
          <w:vertAlign w:val="subscript"/>
        </w:rPr>
        <w:t>o</w:t>
      </w:r>
      <w:r w:rsidRPr="004443A9">
        <w:t>, applied to wells Fu10 and Mu7, were in good agreement with the measured values. This model provides a closer match between predicted and observed vitrinite reflectance values for this study area.</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Hou, X., Guo, B., </w:t>
      </w:r>
      <w:r w:rsidR="00616347">
        <w:t xml:space="preserve">2020. </w:t>
      </w:r>
      <w:r w:rsidRPr="004443A9">
        <w:t>Technical feasibility of using frac-packed wells for producing natural gas from offshore gas hydrate reservoirs. Journal of Petroleum &amp; Environmental Biotechnology 11, 400.</w:t>
      </w:r>
    </w:p>
    <w:p w:rsidR="00DB42FE" w:rsidRPr="004443A9" w:rsidRDefault="00DB42FE" w:rsidP="00616347">
      <w:pPr>
        <w:pStyle w:val="EndNoteBibliography"/>
        <w:ind w:left="360"/>
      </w:pPr>
      <w:r w:rsidRPr="004443A9">
        <w:t>https://www.longdom.org/open-access/technical-feasibility-of-using-fracpacked-wells-for-producing-natural-gas-from-offshore-gas-hydrate-reservoirs.pdf</w:t>
      </w:r>
    </w:p>
    <w:p w:rsidR="00DB42FE" w:rsidRPr="004443A9" w:rsidRDefault="00DB42FE" w:rsidP="00616347">
      <w:pPr>
        <w:pStyle w:val="EndNoteBibliography"/>
        <w:spacing w:after="0"/>
        <w:ind w:left="360"/>
      </w:pPr>
      <w:r w:rsidRPr="004443A9">
        <w:t>This paper presents a feasibility analysis of using frac-packing completion techniques to produce natural gas from offshore gas hydrate reservoirs. A case study was carried out for the gas hydrate accumulations in the northern South China Sea. The feasibility analysis covers the requirements of proppant size, fluid injection rate, fracturing pressure, and well productivity. For the median grain size of sediments in the studied formation from 2.60 to 28.96 μm with an average value of 8.49 μm, the required range of proppant size is between 333 mesh to 748 mesh (0.001 inch ~0.003 inch). Since the proppants in this size range are not commercially available, it would be economical to use screened natural sands as proppants in frac-packing operations. The minimum flow rate of fracturing fluid required to carry the 0.003 inch proppant/sand into the fracture tip at 510 ft is 3.64 bpm, which is much lower than the practical values ranging from 20 bpm to 100 bpm. Therefore proppant/sand transport during frac-packing is not a concern. To create a horizontal fracture of 510 ft radius with a fracturing fluid injection rate of 72 bpm, the maximum bottom hole injection pressure is predicted to be 2,378 psi, which is only 334 psi above the reservoir pressure and can be handled by most pumps used in frac-packing operations. Well productivity forecast with a simplified mathematical model shows that a commercial gas production rate of 16 MMscf/day is achievable with the fracture radius of 510 ft. However, the model requires further validation.</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Howell, D., Stachel, T., Stern, R.A., Pearson, D.G., Nestola, F., Hardman, M.F., Harris, J.W., Jaques, A.L., Shirey, S.B., Cartigny, P., Smit, K.V., Aulbach, S., Brenker, F.E., Jacob, D.E., Thomassot, E., Walter, M.J., Navon, O., </w:t>
      </w:r>
      <w:r w:rsidR="00616347">
        <w:t xml:space="preserve">2020. </w:t>
      </w:r>
      <w:r w:rsidRPr="004443A9">
        <w:t>Deep carbon through time: Earth’s diamond record and its implications for carbon cycling and fluid speciation in the mantle. Geochimica et Cosmochimica Acta 275, 99-122.</w:t>
      </w:r>
    </w:p>
    <w:p w:rsidR="00DB42FE" w:rsidRPr="004443A9" w:rsidRDefault="00DB42FE" w:rsidP="00616347">
      <w:pPr>
        <w:pStyle w:val="EndNoteBibliography"/>
        <w:ind w:left="360"/>
      </w:pPr>
      <w:r w:rsidRPr="004443A9">
        <w:t>http://www.sciencedirect.com/science/article/pii/S0016703720301216</w:t>
      </w:r>
    </w:p>
    <w:p w:rsidR="00DB42FE" w:rsidRPr="004443A9" w:rsidRDefault="00DB42FE" w:rsidP="00616347">
      <w:pPr>
        <w:pStyle w:val="EndNoteBibliography"/>
        <w:ind w:left="360"/>
      </w:pPr>
      <w:r w:rsidRPr="004443A9">
        <w:t xml:space="preserve">Diamonds are unrivalled in their ability to record the mantle carbon cycle and mantle </w:t>
      </w:r>
      <w:r w:rsidRPr="004443A9">
        <w:rPr>
          <w:i/>
        </w:rPr>
        <w:t>f</w:t>
      </w:r>
      <w:r w:rsidRPr="004443A9">
        <w:t>O</w:t>
      </w:r>
      <w:r w:rsidRPr="004443A9">
        <w:rPr>
          <w:vertAlign w:val="subscript"/>
        </w:rPr>
        <w:t>2</w:t>
      </w:r>
      <w:r w:rsidRPr="004443A9">
        <w:t xml:space="preserve"> over a vast portion of Earth’s history. Diamonds’ inertness and antiquity means their carbon isotopic characteristics directly reflect their growth environment within the mantle as far back as </w:t>
      </w:r>
      <w:r w:rsidRPr="004443A9">
        <w:rPr>
          <w:rFonts w:ascii="Cambria Math" w:hAnsi="Cambria Math" w:cs="Cambria Math"/>
        </w:rPr>
        <w:t>∼</w:t>
      </w:r>
      <w:r w:rsidRPr="004443A9">
        <w:t>3.5</w:t>
      </w:r>
      <w:r w:rsidRPr="004443A9">
        <w:rPr>
          <w:rFonts w:cs="Calibri"/>
        </w:rPr>
        <w:t> </w:t>
      </w:r>
      <w:r w:rsidRPr="004443A9">
        <w:t xml:space="preserve">Ga. This paper reports the results of a thorough secondary ion mass spectrometry (SIMS) carbon isotope </w:t>
      </w:r>
      <w:r w:rsidRPr="004443A9">
        <w:lastRenderedPageBreak/>
        <w:t xml:space="preserve">and nitrogen concentration study, carried out on fragments of 144 diamond samples from various locations, from </w:t>
      </w:r>
      <w:r w:rsidRPr="004443A9">
        <w:rPr>
          <w:rFonts w:ascii="Cambria Math" w:hAnsi="Cambria Math" w:cs="Cambria Math"/>
        </w:rPr>
        <w:t>∼</w:t>
      </w:r>
      <w:r w:rsidRPr="004443A9">
        <w:t>3.5 to 1.4</w:t>
      </w:r>
      <w:r w:rsidRPr="004443A9">
        <w:rPr>
          <w:rFonts w:cs="Calibri"/>
        </w:rPr>
        <w:t> </w:t>
      </w:r>
      <w:r w:rsidRPr="004443A9">
        <w:t>Ga for P [peridotitic]-type diamonds and 3.0 to 1.0</w:t>
      </w:r>
      <w:r w:rsidRPr="004443A9">
        <w:rPr>
          <w:rFonts w:cs="Calibri"/>
        </w:rPr>
        <w:t> </w:t>
      </w:r>
      <w:r w:rsidRPr="004443A9">
        <w:t>Ga for E [eclogitic]-type diamonds. The majority of the studied samples were from diamonds used to establish formation ages and thus provide a direct connection between the carbon isotope values, nitrogen contents and the formation ages. In total, 908 carbon isotope and nitrogen concentration measurements were obtained. The total δ</w:t>
      </w:r>
      <w:r w:rsidRPr="004443A9">
        <w:rPr>
          <w:vertAlign w:val="superscript"/>
        </w:rPr>
        <w:t>13</w:t>
      </w:r>
      <w:r w:rsidRPr="004443A9">
        <w:t>C data range from −17.1 to −1.9 ‰ (P = −8.4 to −1.9 ‰; E = −17.1 to −2.1‰) and N contents range from 0 to 3073 at. ppm (P = 0 to 3073 at. ppm; E = 1 to 2661 at. ppm). In general, there is no systematic variation with time in the mantle carbon isotope record since &gt; 3 Ga. The mode in δ</w:t>
      </w:r>
      <w:r w:rsidRPr="004443A9">
        <w:rPr>
          <w:vertAlign w:val="superscript"/>
        </w:rPr>
        <w:t>13</w:t>
      </w:r>
      <w:r w:rsidRPr="004443A9">
        <w:t xml:space="preserve">C of peridotitic diamonds has been at −5 (±2) ‰ since the earliest diamond growth </w:t>
      </w:r>
      <w:r w:rsidRPr="004443A9">
        <w:rPr>
          <w:rFonts w:ascii="Cambria Math" w:hAnsi="Cambria Math" w:cs="Cambria Math"/>
        </w:rPr>
        <w:t>∼</w:t>
      </w:r>
      <w:r w:rsidRPr="004443A9">
        <w:t>3.5</w:t>
      </w:r>
      <w:r w:rsidRPr="004443A9">
        <w:rPr>
          <w:rFonts w:cs="Calibri"/>
        </w:rPr>
        <w:t> </w:t>
      </w:r>
      <w:r w:rsidRPr="004443A9">
        <w:t xml:space="preserve">Ga, and this mode is also observed in the eclogitic diamond record since </w:t>
      </w:r>
      <w:r w:rsidRPr="004443A9">
        <w:rPr>
          <w:rFonts w:ascii="Cambria Math" w:hAnsi="Cambria Math" w:cs="Cambria Math"/>
        </w:rPr>
        <w:t>∼</w:t>
      </w:r>
      <w:r w:rsidRPr="004443A9">
        <w:t>3</w:t>
      </w:r>
      <w:r w:rsidRPr="004443A9">
        <w:rPr>
          <w:rFonts w:cs="Calibri"/>
        </w:rPr>
        <w:t> </w:t>
      </w:r>
      <w:r w:rsidRPr="004443A9">
        <w:t>Ga. The skewness of eclogitic diamonds</w:t>
      </w:r>
      <w:r w:rsidRPr="004443A9">
        <w:rPr>
          <w:rFonts w:cs="Calibri"/>
        </w:rPr>
        <w:t>’</w:t>
      </w:r>
      <w:r w:rsidRPr="004443A9">
        <w:t xml:space="preserve"> </w:t>
      </w:r>
      <w:r w:rsidRPr="004443A9">
        <w:rPr>
          <w:rFonts w:cs="Calibri"/>
        </w:rPr>
        <w:t>δ</w:t>
      </w:r>
      <w:r w:rsidRPr="004443A9">
        <w:rPr>
          <w:vertAlign w:val="superscript"/>
        </w:rPr>
        <w:t>13</w:t>
      </w:r>
      <w:r w:rsidRPr="004443A9">
        <w:t>C distributions to more negative values, which the data establishes began around 3 Ga, is also consistent through time, with no global trends apparent.</w:t>
      </w:r>
    </w:p>
    <w:p w:rsidR="00DB42FE" w:rsidRPr="004443A9" w:rsidRDefault="00DB42FE" w:rsidP="00616347">
      <w:pPr>
        <w:pStyle w:val="EndNoteBibliography"/>
        <w:spacing w:after="0"/>
        <w:ind w:left="360"/>
      </w:pPr>
      <w:r w:rsidRPr="004443A9">
        <w:t>No isotopic and concentration trends were recorded within individual samples, indicating that, firstly, closed system fractionation trends are rare. This implies that diamonds typically grow in systems with high excess of carbon in the fluid (i.e. relative to the mass of the growing diamond). Any minerals included into diamond during the growth process are more likely to be isotopically reset at the time of diamond formation, meaning inclusion ages would be representative of the diamond growth event irrespective of whether they are syngenetic or protogenetic. Secondly, the lack of significant variation seen in the peridotitic diamonds studied is in keeping with modeling of Rayleigh isotopic fractionation in multicomponent systems (RIFMS) during isochemical diamond precipitation in harzburgitic mantle. The RIFMS model not only showed that in water-maximum fluids at constant depths along a geotherm, fractionation can only account for variations of &lt;1‰, but also that the principal δ</w:t>
      </w:r>
      <w:r w:rsidRPr="004443A9">
        <w:rPr>
          <w:vertAlign w:val="superscript"/>
        </w:rPr>
        <w:t>13</w:t>
      </w:r>
      <w:r w:rsidRPr="004443A9">
        <w:t xml:space="preserve">C mode of −5 ± 1‰ in the global harzburgitic diamond record occurs if the variation in </w:t>
      </w:r>
      <w:r w:rsidRPr="004443A9">
        <w:rPr>
          <w:i/>
        </w:rPr>
        <w:t>f</w:t>
      </w:r>
      <w:r w:rsidRPr="004443A9">
        <w:t>O</w:t>
      </w:r>
      <w:r w:rsidRPr="004443A9">
        <w:rPr>
          <w:vertAlign w:val="subscript"/>
        </w:rPr>
        <w:t>2</w:t>
      </w:r>
      <w:r w:rsidRPr="004443A9">
        <w:t xml:space="preserve"> is only 0.4 log units. Due to the wide age distribution of P-type diamonds, this leads to the conclusion that the speciation and oxygen fugacity of diamond forming fluids has been relatively consistent. The deep mantle has therefore generated fluids with near constant carbon speciation for 3.5 Ga.</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Howell, S.M., Pappalardo, R.T., </w:t>
      </w:r>
      <w:r w:rsidR="00616347">
        <w:t xml:space="preserve">2020. </w:t>
      </w:r>
      <w:r w:rsidRPr="004443A9">
        <w:t>NASA’s Europa Clipper—a mission to a potentially habitable ocean world. Nature Communications 11, 1311.</w:t>
      </w:r>
    </w:p>
    <w:p w:rsidR="00DB42FE" w:rsidRPr="004443A9" w:rsidRDefault="00DB42FE" w:rsidP="00616347">
      <w:pPr>
        <w:pStyle w:val="EndNoteBibliography"/>
        <w:ind w:left="360"/>
      </w:pPr>
      <w:r w:rsidRPr="004443A9">
        <w:t>https://doi.org/10.1038/s41467-020-15160-9</w:t>
      </w:r>
    </w:p>
    <w:p w:rsidR="00DB42FE" w:rsidRPr="004443A9" w:rsidRDefault="00DB42FE" w:rsidP="00616347">
      <w:pPr>
        <w:pStyle w:val="EndNoteBibliography"/>
        <w:ind w:left="360"/>
      </w:pPr>
      <w:r w:rsidRPr="004443A9">
        <w:t>Jupiter’s satellite Europa almost certainly hides a global saltwater ocean beneath its icy surface. Chemistry at the ice surface and ocean-rock interface might provide the building blocks for life, and NASA’s Europa Clipper mission will assess Europa’s habitability.</w:t>
      </w:r>
    </w:p>
    <w:p w:rsidR="00DB42FE" w:rsidRPr="004443A9" w:rsidRDefault="00DB42FE" w:rsidP="00616347">
      <w:pPr>
        <w:pStyle w:val="EndNoteBibliography"/>
        <w:ind w:left="360"/>
      </w:pPr>
      <w:r w:rsidRPr="004443A9">
        <w:t>One of the most powerful insights within planetary science in the last few decades is the discovery that celestial bodies throughout our solar system may hide vast global oceans of liquid water</w:t>
      </w:r>
      <w:r w:rsidRPr="004443A9">
        <w:rPr>
          <w:u w:val="single"/>
          <w:vertAlign w:val="superscript"/>
        </w:rPr>
        <w:t>1</w:t>
      </w:r>
      <w:r w:rsidRPr="004443A9">
        <w:t>. The first discovered likely ocean world beyond Earth, Europa, has captivated the science community and general public. With a launch date no later than 2025, NASA will return with the Europa Clipper mission to characterize Europa’s potential habitability by examining its ice shell and ocean, surface and atmospheric composition, geology and local-scale processes, and current activity.</w:t>
      </w:r>
    </w:p>
    <w:p w:rsidR="00DB42FE" w:rsidRPr="004443A9" w:rsidRDefault="00DB42FE" w:rsidP="00616347">
      <w:pPr>
        <w:pStyle w:val="EndNoteBibliography"/>
        <w:ind w:left="360"/>
      </w:pPr>
      <w:r w:rsidRPr="004443A9">
        <w:t>The Voyager and Galileo missions first revealed a deformed surface at Europa with an average surface age younger than Earth’s</w:t>
      </w:r>
      <w:r w:rsidRPr="004443A9">
        <w:rPr>
          <w:u w:val="single"/>
          <w:vertAlign w:val="superscript"/>
        </w:rPr>
        <w:t>2</w:t>
      </w:r>
      <w:r w:rsidRPr="004443A9">
        <w:t xml:space="preserve">, dominated by water ice and renewed through recent or active </w:t>
      </w:r>
      <w:r w:rsidRPr="004443A9">
        <w:lastRenderedPageBreak/>
        <w:t>geologic activity. The Galileo mission discovered Europa’s induced magnetic field, which indicates the presence of a global, electrically conductive fluid layer beneath the surface, most likely a saltwater ocean</w:t>
      </w:r>
      <w:r w:rsidRPr="004443A9">
        <w:rPr>
          <w:u w:val="single"/>
          <w:vertAlign w:val="superscript"/>
        </w:rPr>
        <w:t>3</w:t>
      </w:r>
      <w:r w:rsidRPr="004443A9">
        <w:t>. Recent observations also suggest the presence of plumes that may spew internal water into space</w:t>
      </w:r>
      <w:r w:rsidRPr="004443A9">
        <w:rPr>
          <w:u w:val="single"/>
          <w:vertAlign w:val="superscript"/>
        </w:rPr>
        <w:t>4</w:t>
      </w:r>
      <w:r w:rsidRPr="004443A9">
        <w:rPr>
          <w:vertAlign w:val="superscript"/>
        </w:rPr>
        <w:t>,</w:t>
      </w:r>
      <w:r w:rsidRPr="004443A9">
        <w:rPr>
          <w:u w:val="single"/>
          <w:vertAlign w:val="superscript"/>
        </w:rPr>
        <w:t>5</w:t>
      </w:r>
      <w:r w:rsidRPr="004443A9">
        <w:rPr>
          <w:vertAlign w:val="superscript"/>
        </w:rPr>
        <w:t>,</w:t>
      </w:r>
      <w:r w:rsidRPr="004443A9">
        <w:rPr>
          <w:u w:val="single"/>
          <w:vertAlign w:val="superscript"/>
        </w:rPr>
        <w:t>6</w:t>
      </w:r>
      <w:r w:rsidRPr="004443A9">
        <w:t>, indicating the potential for additional shallow liquid water reservoirs beneath Europa’s icy surface.</w:t>
      </w:r>
    </w:p>
    <w:p w:rsidR="00DB42FE" w:rsidRPr="004443A9" w:rsidRDefault="00DB42FE" w:rsidP="00616347">
      <w:pPr>
        <w:pStyle w:val="EndNoteBibliography"/>
        <w:ind w:left="360"/>
      </w:pPr>
      <w:r w:rsidRPr="004443A9">
        <w:t>Geochemical constraints have led to open questions about the viability of Europa to host life. Intense radiation from Jupiter at Europa’s surface forms water and impurities into oxidants, chemical reagents capable of carrying out oxidation. Active geologic cycling of seawater through rocky material on the Europan seafloor is expected to be chemically reducing</w:t>
      </w:r>
      <w:r w:rsidRPr="004443A9">
        <w:rPr>
          <w:u w:val="single"/>
          <w:vertAlign w:val="superscript"/>
        </w:rPr>
        <w:t>7</w:t>
      </w:r>
      <w:r w:rsidRPr="004443A9">
        <w:t>. If mixing between the surface oxidants and the reduced ocean water occurs, there is an opportunity in Europa’s ocean or ice shell to produce a reduction–oxidation (redox) potential. All known life on Earth relies on such redox potentials to extract chemical energy from the environment in exchange for heat energy and entropy, enabling cellular maintenance, metabolism, and reproduction. Europa thus has the ingredients that may allow life to emerge: liquid water, bioessential elements, chemical energy, and a stable environment through time.</w:t>
      </w:r>
    </w:p>
    <w:p w:rsidR="00DB42FE" w:rsidRPr="004443A9" w:rsidRDefault="00DB42FE" w:rsidP="00616347">
      <w:pPr>
        <w:pStyle w:val="EndNoteBibliography"/>
        <w:ind w:left="360"/>
      </w:pPr>
      <w:r w:rsidRPr="004443A9">
        <w:t>Ice tectonics as a key to habitability. In order for Europa to maintain an ocean that is oxygenated like Earth’s, oxidants need to propagate downward from Europa’s icy surface</w:t>
      </w:r>
      <w:r w:rsidRPr="004443A9">
        <w:rPr>
          <w:u w:val="single"/>
          <w:vertAlign w:val="superscript"/>
        </w:rPr>
        <w:t>8</w:t>
      </w:r>
      <w:r w:rsidRPr="004443A9">
        <w:rPr>
          <w:vertAlign w:val="superscript"/>
        </w:rPr>
        <w:t>,</w:t>
      </w:r>
      <w:r w:rsidRPr="004443A9">
        <w:rPr>
          <w:u w:val="single"/>
          <w:vertAlign w:val="superscript"/>
        </w:rPr>
        <w:t>9</w:t>
      </w:r>
      <w:r w:rsidRPr="004443A9">
        <w:t>. One probable mechanism to achieve this is downward surface material transport through geologic processes. Hand et al.</w:t>
      </w:r>
      <w:r w:rsidRPr="004443A9">
        <w:rPr>
          <w:u w:val="single"/>
          <w:vertAlign w:val="superscript"/>
        </w:rPr>
        <w:t>8</w:t>
      </w:r>
      <w:r w:rsidRPr="004443A9">
        <w:t xml:space="preserve"> demonstrated that Europa could maintain an oxygenated ocean if downward cycling occurs only once every 30–70 Myr, and remain at least partially oxygenated with cycling every 500 Myr.</w:t>
      </w:r>
    </w:p>
    <w:p w:rsidR="00DB42FE" w:rsidRPr="004443A9" w:rsidRDefault="00DB42FE" w:rsidP="00616347">
      <w:pPr>
        <w:pStyle w:val="EndNoteBibliography"/>
        <w:ind w:left="360"/>
      </w:pPr>
      <w:r w:rsidRPr="004443A9">
        <w:t xml:space="preserve">Whether or not Europa’s surface has been continually renewed throughout its history, or if some catastrophic process globally erased an ancient surface in relatively recent geologic times, are significant open questions that reflect our limited understanding of Europa’s icy shell. Currently, we understand that the shell is cold and stiff near the surface, producing fractures and faults in response to geologic stresses (Fig. </w:t>
      </w:r>
      <w:r w:rsidRPr="004443A9">
        <w:rPr>
          <w:u w:val="single"/>
        </w:rPr>
        <w:t>1</w:t>
      </w:r>
      <w:r w:rsidRPr="004443A9">
        <w:t>). Where the ice shell is warm near the ocean interface, it may undergo solid-state ice convection (localized ice masses rising and falling buoyantly within the subsurface), a process akin to mantle convection on Earth.</w:t>
      </w:r>
    </w:p>
    <w:p w:rsidR="00DB42FE" w:rsidRPr="004443A9" w:rsidRDefault="00DB42FE" w:rsidP="00616347">
      <w:pPr>
        <w:pStyle w:val="EndNoteBibliography"/>
        <w:ind w:left="360"/>
      </w:pPr>
      <w:r w:rsidRPr="004443A9">
        <w:t>Europa’s prominent bands are tabular extensional zones of ridges and grooves that transect the surrounding terrain, inferred to have opened through mechanisms analogous to mid-ocean ridge spreading on Earth</w:t>
      </w:r>
      <w:r w:rsidRPr="004443A9">
        <w:rPr>
          <w:u w:val="single"/>
          <w:vertAlign w:val="superscript"/>
        </w:rPr>
        <w:t>10</w:t>
      </w:r>
      <w:r w:rsidRPr="004443A9">
        <w:t xml:space="preserve"> (Fig. </w:t>
      </w:r>
      <w:r w:rsidRPr="004443A9">
        <w:rPr>
          <w:u w:val="single"/>
        </w:rPr>
        <w:t>1</w:t>
      </w:r>
      <w:r w:rsidRPr="004443A9">
        <w:t>). Where the brittle ice is thick and strong, the ice rifts apart to form faulted bands that disrupt the original terrain</w:t>
      </w:r>
      <w:r w:rsidRPr="004443A9">
        <w:rPr>
          <w:u w:val="single"/>
          <w:vertAlign w:val="superscript"/>
        </w:rPr>
        <w:t>11</w:t>
      </w:r>
      <w:r w:rsidRPr="004443A9">
        <w:t>. Where the brittle ice is thin and weak, warm interior ice and incorporated ocean material may be exposed at the surface</w:t>
      </w:r>
      <w:r w:rsidRPr="004443A9">
        <w:rPr>
          <w:u w:val="single"/>
          <w:vertAlign w:val="superscript"/>
        </w:rPr>
        <w:t>11</w:t>
      </w:r>
      <w:r w:rsidRPr="004443A9">
        <w:t>.</w:t>
      </w:r>
    </w:p>
    <w:p w:rsidR="00DB42FE" w:rsidRPr="004443A9" w:rsidRDefault="00DB42FE" w:rsidP="00616347">
      <w:pPr>
        <w:pStyle w:val="EndNoteBibliography"/>
        <w:ind w:left="360"/>
      </w:pPr>
      <w:r w:rsidRPr="004443A9">
        <w:t>In contrast to globally observed extensional processes, observations indicative of geologic mechanisms that remove old surface material are rare. A key discovery in this area was made by Kattenhorn and Prockter</w:t>
      </w:r>
      <w:r w:rsidRPr="004443A9">
        <w:rPr>
          <w:u w:val="single"/>
          <w:vertAlign w:val="superscript"/>
        </w:rPr>
        <w:t>12</w:t>
      </w:r>
      <w:r w:rsidRPr="004443A9">
        <w:t>, who found that an area of Europa’s surface ~100 km wide has been removed through an apparent subduction-like process. However, because subducted icy plates may quickly equilibrate with the shell’s interior</w:t>
      </w:r>
      <w:r w:rsidRPr="004443A9">
        <w:rPr>
          <w:u w:val="single"/>
          <w:vertAlign w:val="superscript"/>
        </w:rPr>
        <w:t>12</w:t>
      </w:r>
      <w:r w:rsidRPr="004443A9">
        <w:t xml:space="preserve"> (Fig. </w:t>
      </w:r>
      <w:r w:rsidRPr="004443A9">
        <w:rPr>
          <w:u w:val="single"/>
        </w:rPr>
        <w:t>1</w:t>
      </w:r>
      <w:r w:rsidRPr="004443A9">
        <w:t>), Europa likely lacks the endogenic potential required to continuously renew its surface</w:t>
      </w:r>
      <w:r w:rsidRPr="004443A9">
        <w:rPr>
          <w:u w:val="single"/>
          <w:vertAlign w:val="superscript"/>
        </w:rPr>
        <w:t>13</w:t>
      </w:r>
      <w:r w:rsidRPr="004443A9">
        <w:t>.</w:t>
      </w:r>
    </w:p>
    <w:p w:rsidR="00DB42FE" w:rsidRPr="004443A9" w:rsidRDefault="00DB42FE" w:rsidP="00616347">
      <w:pPr>
        <w:pStyle w:val="EndNoteBibliography"/>
        <w:ind w:left="360"/>
      </w:pPr>
      <w:r w:rsidRPr="004443A9">
        <w:t xml:space="preserve">Whether the surface is continually or discretely renewed, Europa’s tectonic processes are not the only modes of geologic transport acting on the body today. Another prominent and potentially active terrain on Europa, known as chaos, suggests the collapse of icy material to produce a mangled icy substrate on which fragments of the original surface have been translated. Leading </w:t>
      </w:r>
      <w:r w:rsidRPr="004443A9">
        <w:lastRenderedPageBreak/>
        <w:t>hypotheses invoke convective transport of solid material</w:t>
      </w:r>
      <w:r w:rsidRPr="004443A9">
        <w:rPr>
          <w:u w:val="single"/>
          <w:vertAlign w:val="superscript"/>
        </w:rPr>
        <w:t>14</w:t>
      </w:r>
      <w:r w:rsidRPr="004443A9">
        <w:t xml:space="preserve"> or drainage of subsurface lakes</w:t>
      </w:r>
      <w:r w:rsidRPr="004443A9">
        <w:rPr>
          <w:u w:val="single"/>
          <w:vertAlign w:val="superscript"/>
        </w:rPr>
        <w:t>15</w:t>
      </w:r>
      <w:r w:rsidRPr="004443A9">
        <w:t>. While there is not yet consensus on the mechanisms of chaos formation, the terrain likely contributes to the downward transport of surface material.</w:t>
      </w:r>
    </w:p>
    <w:p w:rsidR="00DB42FE" w:rsidRPr="004443A9" w:rsidRDefault="00DB42FE" w:rsidP="00616347">
      <w:pPr>
        <w:pStyle w:val="EndNoteBibliography"/>
        <w:ind w:left="360"/>
      </w:pPr>
      <w:r w:rsidRPr="004443A9">
        <w:t>Major difficulties remain in predicting the volume and frequency that material from the surface is conveyed to the interior ocean. If Europa’s surface was continually renewed by consistent endogenic processes, one would expect there to be an indication of repeated or cyclic geologic surface deformation. Instead, it appears that Europa has moved from global surface deformation, recorded in its ridged plains, to local formation of chaos and ridges</w:t>
      </w:r>
      <w:r w:rsidRPr="004443A9">
        <w:rPr>
          <w:u w:val="single"/>
          <w:vertAlign w:val="superscript"/>
        </w:rPr>
        <w:t>16</w:t>
      </w:r>
      <w:r w:rsidRPr="004443A9">
        <w:t>. This may indicate a globally perturbed body moving back toward equilibrium, expending the energy required for continued global deformation. With no definitive observations of near-surface melt and the rarity of overt convergent tectonics, future studies and observations of possible geologic transport mechanisms are critical to understanding Europa’s habitability.</w:t>
      </w:r>
    </w:p>
    <w:p w:rsidR="00DB42FE" w:rsidRPr="004443A9" w:rsidRDefault="00DB42FE" w:rsidP="00616347">
      <w:pPr>
        <w:pStyle w:val="EndNoteBibliography"/>
        <w:ind w:left="360"/>
      </w:pPr>
      <w:r w:rsidRPr="004443A9">
        <w:t>The Europa Clipper mission.</w:t>
      </w:r>
      <w:r w:rsidRPr="004443A9">
        <w:rPr>
          <w:b/>
        </w:rPr>
        <w:t xml:space="preserve"> </w:t>
      </w:r>
      <w:r w:rsidRPr="004443A9">
        <w:t xml:space="preserve">The overarching goal of NASA’s Europa Clipper mission (Fig. </w:t>
      </w:r>
      <w:r w:rsidRPr="004443A9">
        <w:rPr>
          <w:u w:val="single"/>
        </w:rPr>
        <w:t>2</w:t>
      </w:r>
      <w:r w:rsidRPr="004443A9">
        <w:t>) is to explore Europa to investigate its habitability. This goal traces to three mission objectives consisting of characterizing the ice shell and any subsurface water, including their heterogeneity, ocean properties, and the nature of surface–ice–ocean exchange; understanding the habitability of Europa’s ocean through composition and chemistry; understanding the formation of surface features, including sites of recent or current activity, and characterizing high science-interest localities.</w:t>
      </w:r>
    </w:p>
    <w:p w:rsidR="00DB42FE" w:rsidRPr="004443A9" w:rsidRDefault="00DB42FE" w:rsidP="00616347">
      <w:pPr>
        <w:pStyle w:val="EndNoteBibliography"/>
        <w:ind w:left="360"/>
      </w:pPr>
      <w:r w:rsidRPr="004443A9">
        <w:t>In order to investigate Europa’s extremely thin atmosphere, Europa Clipper is equipped with an ultraviolet spectrograph, capable of detecting small plumes and providing valuable data about the composition and dynamics of the moon’s exosphere. Europa Clipper further carries a surface dust analyzer to measure the composition of small particles ejected from Europa, providing the opportunity to directly sample the surface and potential plumes on low-altitude flybys. The instrument is capable of identifying traces of ejected organic and inorganic compounds. Finally, the composition of Europa’s tenuous atmosphere and volatile surface materials ejected into space will be captured by a neutral gas mass spectrometer that can precisely determine composition.</w:t>
      </w:r>
    </w:p>
    <w:p w:rsidR="00DB42FE" w:rsidRPr="004443A9" w:rsidRDefault="00DB42FE" w:rsidP="00616347">
      <w:pPr>
        <w:pStyle w:val="EndNoteBibliography"/>
        <w:ind w:left="360"/>
      </w:pPr>
      <w:r w:rsidRPr="004443A9">
        <w:t>For surface remote sensing, the Europa Clipper spacecraft is equipped with an imaging system consisting of a visible-spectrum wide- and narrow-angle camera suite that will map Europa. Europa Clipper also carries an imaging near-infrared spectrometer to probe surface compositions, relating it to the habitability of its ocean. Investigating Europa’s surface in mid- and far-infrared wavelengths, the thermal imaging system will provide high spatial resolution imaging to detect geologically active sites and potential plume vents.</w:t>
      </w:r>
    </w:p>
    <w:p w:rsidR="00DB42FE" w:rsidRPr="004443A9" w:rsidRDefault="00DB42FE" w:rsidP="00616347">
      <w:pPr>
        <w:pStyle w:val="EndNoteBibliography"/>
        <w:ind w:left="360"/>
      </w:pPr>
      <w:r w:rsidRPr="004443A9">
        <w:t>Peering into the ice shell, Europa Clipper carries an ice-penetrating radar instrument that is designed to characterize and sound Europa’s ice shell from the near-surface to the ocean, revealing the three-dimensional icy structure and potential water pockets within. Ice shell thickness, ocean depth, and ocean salinity will additionally be evaluated by a conjunction of Europa Clipper’s plasma and magnetometer instruments. The plasma instrument measures the ionosphere surrounding Europa to characterize the magnetic fields generated by plasma currents, which can mask the magnetic induction response of Europa’s subsurface ocean. The magnetometer is a NASA-provided facility instrument with sensors that measure the direction and strength of magnetic fields in the spacecraft’s immediate vicinity. The interior of Europa will also be investigated via gravity and radio science, using Doppler data derived from the spacecraft’s telecommunication system.</w:t>
      </w:r>
    </w:p>
    <w:p w:rsidR="00DB42FE" w:rsidRPr="004443A9" w:rsidRDefault="00DB42FE" w:rsidP="00616347">
      <w:pPr>
        <w:pStyle w:val="EndNoteBibliography"/>
        <w:ind w:left="360"/>
      </w:pPr>
      <w:r w:rsidRPr="004443A9">
        <w:lastRenderedPageBreak/>
        <w:t>Outlook and future exploration. The Europa Clipper mission is currently in its implementation phase. The instrument and spacecraft designs are being finalized as the project approaches its Critical Design Review, and the first few pieces of the spacecraft bus are currently being manufactured. The integration of spacecraft components begins in 2021, and the spacecraft has a planned completion date of 2023.</w:t>
      </w:r>
    </w:p>
    <w:p w:rsidR="00DB42FE" w:rsidRPr="004443A9" w:rsidRDefault="00DB42FE" w:rsidP="00616347">
      <w:pPr>
        <w:pStyle w:val="EndNoteBibliography"/>
        <w:ind w:left="360"/>
      </w:pPr>
      <w:r w:rsidRPr="004443A9">
        <w:t>In addition to the Europa Clipper mission, the European Space Agency’s JUICE mission will characterize the conditions that may have led to the emergence of habitable environments around Jupiter. While the primary focus of JUICE is Ganymede, the spacecraft will make two flybys of Europa, training complementary instruments at the icy moon. The JUICE mission will therefore be fundamental to understanding Europa within the context of the Jupiter system, and its comparative potential to host life.</w:t>
      </w:r>
    </w:p>
    <w:p w:rsidR="00DB42FE" w:rsidRPr="004443A9" w:rsidRDefault="00DB42FE" w:rsidP="00616347">
      <w:pPr>
        <w:pStyle w:val="EndNoteBibliography"/>
        <w:ind w:left="360"/>
      </w:pPr>
      <w:r w:rsidRPr="004443A9">
        <w:t>Multiple mission concepts have arisen from the scientific community to take the next few steps in exploring Europa, including a spacecraft concept to touch its icy surface for the first time. The Europa Lander Science Definition Team proposed a science rationale focused on searching for biosignatures, supported by understanding Europa’s habitability, surface properties, and dynamics as the context</w:t>
      </w:r>
      <w:r w:rsidRPr="004443A9">
        <w:rPr>
          <w:u w:val="single"/>
          <w:vertAlign w:val="superscript"/>
        </w:rPr>
        <w:t>17</w:t>
      </w:r>
      <w:r w:rsidRPr="004443A9">
        <w:t>.</w:t>
      </w:r>
    </w:p>
    <w:p w:rsidR="00DB42FE" w:rsidRPr="004443A9" w:rsidRDefault="00DB42FE" w:rsidP="00616347">
      <w:pPr>
        <w:pStyle w:val="EndNoteBibliography"/>
        <w:ind w:left="360"/>
      </w:pPr>
      <w:r w:rsidRPr="004443A9">
        <w:t>A mission concept for future decades would be to land a payload to provide direct access to the ocean below. Defining the technologies needed to accomplish this task has recently begun in NASA’s Scientific Exploration Subsurface Access Mechanism for Europa (SESAME) program, with focus on “cryobot” probes that could use a modified radioisotope or potential fission-power systems, ultimately exploring Europa’s ocean to attempt direct life detection.</w:t>
      </w:r>
    </w:p>
    <w:p w:rsidR="00DB42FE" w:rsidRPr="004443A9" w:rsidRDefault="00DB42FE" w:rsidP="00616347">
      <w:pPr>
        <w:pStyle w:val="EndNoteBibliography"/>
        <w:ind w:left="360"/>
      </w:pPr>
      <w:r w:rsidRPr="004443A9">
        <w:t>The forthcoming decades promise fascinating discoveries at Europa and the other bodies believed to host alien oceans within our solar system. The Europa Clipper mission will take a profound step in advancing our understanding of habitable environments beyond Earth. Moving into the new decade, we are setting our sights forward to begin addressing the scientific and technological challenges uniquely associated with the robotic exploration of Europa and other icy ocean worlds.</w:t>
      </w:r>
    </w:p>
    <w:p w:rsidR="00DB42FE" w:rsidRPr="004443A9" w:rsidRDefault="00DB42FE" w:rsidP="000A2352">
      <w:pPr>
        <w:pStyle w:val="EndNoteBibliography"/>
        <w:spacing w:after="0"/>
        <w:ind w:left="720" w:hanging="360"/>
      </w:pPr>
      <w:r w:rsidRPr="004443A9">
        <w:t>References</w:t>
      </w:r>
    </w:p>
    <w:p w:rsidR="00DB42FE" w:rsidRPr="004443A9" w:rsidRDefault="00DB42FE" w:rsidP="000A2352">
      <w:pPr>
        <w:pStyle w:val="EndNoteBibliography"/>
        <w:spacing w:after="0"/>
        <w:ind w:left="720" w:hanging="360"/>
      </w:pPr>
      <w:r w:rsidRPr="004443A9">
        <w:t>1.   Hendrix, A. R. et al. The NASA roadmap to ocean worlds. Astrobiology 19, 1–27 (2018).</w:t>
      </w:r>
    </w:p>
    <w:p w:rsidR="00DB42FE" w:rsidRPr="004443A9" w:rsidRDefault="00DB42FE" w:rsidP="000A2352">
      <w:pPr>
        <w:pStyle w:val="EndNoteBibliography"/>
        <w:spacing w:after="0"/>
        <w:ind w:left="720" w:hanging="360"/>
      </w:pPr>
      <w:r w:rsidRPr="004443A9">
        <w:t>2.   Bierhaus, E. B., Zahnle, K. &amp; Chapman, C. R. Europa’s crater distributions and surface ages. in Europa (eds Pappalardo, R. T., McKinnon, W. B. &amp; Khurana, K.) 161–180 (University of Arizona Press, Tucson, 2009)</w:t>
      </w:r>
    </w:p>
    <w:p w:rsidR="00DB42FE" w:rsidRPr="004443A9" w:rsidRDefault="00DB42FE" w:rsidP="000A2352">
      <w:pPr>
        <w:pStyle w:val="EndNoteBibliography"/>
        <w:spacing w:after="0"/>
        <w:ind w:left="720" w:hanging="360"/>
      </w:pPr>
      <w:r w:rsidRPr="004443A9">
        <w:t>3.   Kivelson, M. G. et al. Galileo magnetometer measurements: a stronger case for a subsurface ocean at Europa. Science 289, 1340–1343 (2000).</w:t>
      </w:r>
    </w:p>
    <w:p w:rsidR="00DB42FE" w:rsidRPr="004443A9" w:rsidRDefault="00DB42FE" w:rsidP="000A2352">
      <w:pPr>
        <w:pStyle w:val="EndNoteBibliography"/>
        <w:spacing w:after="0"/>
        <w:ind w:left="720" w:hanging="360"/>
      </w:pPr>
      <w:r w:rsidRPr="004443A9">
        <w:t>4.   Roth, L. et al. Transient water vapor at Europa’s south pole. Science 343, 171–174 (2014).</w:t>
      </w:r>
    </w:p>
    <w:p w:rsidR="00DB42FE" w:rsidRPr="004443A9" w:rsidRDefault="00DB42FE" w:rsidP="000A2352">
      <w:pPr>
        <w:pStyle w:val="EndNoteBibliography"/>
        <w:spacing w:after="0"/>
        <w:ind w:left="720" w:hanging="360"/>
      </w:pPr>
      <w:r w:rsidRPr="004443A9">
        <w:t>5.   Sparks, Wx. B. et al. Active cryovolcanism on Europa? Astrophysical J. Lett. 839, L18 (2017).</w:t>
      </w:r>
    </w:p>
    <w:p w:rsidR="00DB42FE" w:rsidRPr="004443A9" w:rsidRDefault="00DB42FE" w:rsidP="000A2352">
      <w:pPr>
        <w:pStyle w:val="EndNoteBibliography"/>
        <w:spacing w:after="0"/>
        <w:ind w:left="720" w:hanging="360"/>
      </w:pPr>
      <w:r w:rsidRPr="004443A9">
        <w:t>6.   Jia, X., Kivelson, M. G., Khurana, K. K. &amp; Kurth, W. S. Evidence of a plume on Europa from Galileo magnetic and plasma wave signatures. Nat. Astron. 2, 459–464 (2018).</w:t>
      </w:r>
    </w:p>
    <w:p w:rsidR="00DB42FE" w:rsidRPr="004443A9" w:rsidRDefault="00DB42FE" w:rsidP="000A2352">
      <w:pPr>
        <w:pStyle w:val="EndNoteBibliography"/>
        <w:spacing w:after="0"/>
        <w:ind w:left="720" w:hanging="360"/>
      </w:pPr>
      <w:r w:rsidRPr="004443A9">
        <w:t>7.   Hand, K. P., Chyba, C. F., Priscu, J. C., Carlson, R. W. &amp; Nealson, K. H. Astrobiology and the potential for life on Europa. in Europa (eds Pappalardo, R. T., McKinnon, W. B. &amp; Khurana, K.) 589 (University of Arizona Press, 2009).</w:t>
      </w:r>
    </w:p>
    <w:p w:rsidR="00DB42FE" w:rsidRPr="004443A9" w:rsidRDefault="00DB42FE" w:rsidP="000A2352">
      <w:pPr>
        <w:pStyle w:val="EndNoteBibliography"/>
        <w:spacing w:after="0"/>
        <w:ind w:left="720" w:hanging="360"/>
      </w:pPr>
      <w:r w:rsidRPr="004443A9">
        <w:t>8.   Hand, K. P., Carlson, R. W. &amp; Chyba, C. F. Energy, chemical disequilibrium, and geological constraints on Europa. Astrobiology 7, 1006–1022 (2007).</w:t>
      </w:r>
    </w:p>
    <w:p w:rsidR="00DB42FE" w:rsidRPr="004443A9" w:rsidRDefault="00DB42FE" w:rsidP="000A2352">
      <w:pPr>
        <w:pStyle w:val="EndNoteBibliography"/>
        <w:spacing w:after="0"/>
        <w:ind w:left="720" w:hanging="360"/>
      </w:pPr>
      <w:r w:rsidRPr="004443A9">
        <w:t>9.   Vance, S. D., Hand, K. P. &amp; Pappalardo, R. T. Geophysical controls of chemical disequilibria in Europa. Geophys. Res. Lett. 43, 4871–4879 (2016).</w:t>
      </w:r>
    </w:p>
    <w:p w:rsidR="00DB42FE" w:rsidRPr="004443A9" w:rsidRDefault="00DB42FE" w:rsidP="000A2352">
      <w:pPr>
        <w:pStyle w:val="EndNoteBibliography"/>
        <w:spacing w:after="0"/>
        <w:ind w:left="720" w:hanging="360"/>
      </w:pPr>
      <w:r w:rsidRPr="004443A9">
        <w:lastRenderedPageBreak/>
        <w:t>10. Prockter, L. M. et al. Morphology of Europan bands at high resolution: a mid-ocean ridge-type rift mechanism. J. Geophys. Res. Planets. 107, 4–1–4–26 (2002).</w:t>
      </w:r>
    </w:p>
    <w:p w:rsidR="00DB42FE" w:rsidRPr="004443A9" w:rsidRDefault="00DB42FE" w:rsidP="000A2352">
      <w:pPr>
        <w:pStyle w:val="EndNoteBibliography"/>
        <w:spacing w:after="0"/>
        <w:ind w:left="720" w:hanging="360"/>
      </w:pPr>
      <w:r w:rsidRPr="004443A9">
        <w:t>11. Howell, S. M. &amp; Pappalardo, R. T. Band formation and ocean-surface interaction on Europa and ganymede. Geophys. Res. Lett. 45, 4701–4709 (2018).</w:t>
      </w:r>
    </w:p>
    <w:p w:rsidR="00DB42FE" w:rsidRPr="004443A9" w:rsidRDefault="00DB42FE" w:rsidP="000A2352">
      <w:pPr>
        <w:pStyle w:val="EndNoteBibliography"/>
        <w:spacing w:after="0"/>
        <w:ind w:left="720" w:hanging="360"/>
      </w:pPr>
      <w:r w:rsidRPr="004443A9">
        <w:t>12. Kattenhorn, S. A. &amp; Prockter, L. M. Evidence for subduction in the ice shell of Europa. Nat. Geosci. 7, 762–767 (2014).</w:t>
      </w:r>
    </w:p>
    <w:p w:rsidR="00DB42FE" w:rsidRPr="004443A9" w:rsidRDefault="00DB42FE" w:rsidP="000A2352">
      <w:pPr>
        <w:pStyle w:val="EndNoteBibliography"/>
        <w:spacing w:after="0"/>
        <w:ind w:left="720" w:hanging="360"/>
      </w:pPr>
      <w:r w:rsidRPr="004443A9">
        <w:t>13. Howell, S. M. &amp; Pappalardo, R. T. Can Earth-like plate tectonics occur in ocean world ice shells? Icarus 322, 69–79 (2019).</w:t>
      </w:r>
    </w:p>
    <w:p w:rsidR="00DB42FE" w:rsidRPr="004443A9" w:rsidRDefault="00DB42FE" w:rsidP="000A2352">
      <w:pPr>
        <w:pStyle w:val="EndNoteBibliography"/>
        <w:spacing w:after="0"/>
        <w:ind w:left="720" w:hanging="360"/>
      </w:pPr>
      <w:r w:rsidRPr="004443A9">
        <w:t>14. Collins, G. &amp; Nimmo, F. Chaotic Terrain on Europa. in Europa. (eds Pappalardo, R. T., McKinnon, W. B., &amp; Khurana, K.) 259–281 (University of Arizona Press, Tucson, 2009).</w:t>
      </w:r>
    </w:p>
    <w:p w:rsidR="00DB42FE" w:rsidRPr="004443A9" w:rsidRDefault="00DB42FE" w:rsidP="000A2352">
      <w:pPr>
        <w:pStyle w:val="EndNoteBibliography"/>
        <w:spacing w:after="0"/>
        <w:ind w:left="720" w:hanging="360"/>
      </w:pPr>
      <w:r w:rsidRPr="004443A9">
        <w:t>15. Schmidt, B. E., Blankenship, D. D., Patterson, G. W. &amp; Schenk, P. M. Active formation of ‘chaos terrain’over shallow subsurface water on Europa. Nature 479, 502 (2011).</w:t>
      </w:r>
    </w:p>
    <w:p w:rsidR="00DB42FE" w:rsidRPr="004443A9" w:rsidRDefault="00DB42FE" w:rsidP="000A2352">
      <w:pPr>
        <w:pStyle w:val="EndNoteBibliography"/>
        <w:spacing w:after="0"/>
        <w:ind w:left="720" w:hanging="360"/>
      </w:pPr>
      <w:r w:rsidRPr="004443A9">
        <w:t>16. Leonard, E. J., Pappalardo, R. T. &amp; Yin, A. Analysis of very-high-resolution Galileo images and implications for resurfacing mechanisms on Europa. Icarus 312, 100–120 (2018).</w:t>
      </w:r>
    </w:p>
    <w:p w:rsidR="00DB42FE" w:rsidRPr="004443A9" w:rsidRDefault="00DB42FE" w:rsidP="000A2352">
      <w:pPr>
        <w:pStyle w:val="EndNoteBibliography"/>
        <w:spacing w:after="0"/>
        <w:ind w:left="720" w:hanging="360"/>
      </w:pPr>
      <w:r w:rsidRPr="004443A9">
        <w:t>17. Hand, K. P. et al. “Europa Lander Study 2016 Report: Europa Lander Mission.” NASA Jet Propuls. Lab., La Cañada Flintridge, CA, USA, Tech. Rep. JPL D-97667 (2017).</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Hu, G., Pang, Q., Jiao, K., Hu, C., Liao, Z., </w:t>
      </w:r>
      <w:r w:rsidR="00616347">
        <w:t xml:space="preserve">2020. </w:t>
      </w:r>
      <w:r w:rsidRPr="004443A9">
        <w:t>Development of organic pores in the Longmaxi Formation overmature shales: Combined effects of thermal maturity and organic matter composition. Marine and Petroleum Geology 116, 104314.</w:t>
      </w:r>
    </w:p>
    <w:p w:rsidR="00DB42FE" w:rsidRPr="004443A9" w:rsidRDefault="00DB42FE" w:rsidP="00616347">
      <w:pPr>
        <w:pStyle w:val="EndNoteBibliography"/>
        <w:ind w:left="360"/>
      </w:pPr>
      <w:r w:rsidRPr="004443A9">
        <w:t>http://www.sciencedirect.com/science/article/pii/S0264817220300970</w:t>
      </w:r>
    </w:p>
    <w:p w:rsidR="00DB42FE" w:rsidRPr="004443A9" w:rsidRDefault="00DB42FE" w:rsidP="00616347">
      <w:pPr>
        <w:pStyle w:val="EndNoteBibliography"/>
        <w:spacing w:after="0"/>
        <w:ind w:left="360"/>
      </w:pPr>
      <w:r w:rsidRPr="004443A9">
        <w:t>Organic pores are considered to be the dominant contributors to total porosity and hydrocarbon storage in many source rock unconventional reservoirs. In this study, organic petrology, focused ion beam–environmental scanning electron microscopy (FIB-SEM), and low-pressure N</w:t>
      </w:r>
      <w:r w:rsidRPr="004443A9">
        <w:rPr>
          <w:vertAlign w:val="subscript"/>
        </w:rPr>
        <w:t>2</w:t>
      </w:r>
      <w:r w:rsidRPr="004443A9">
        <w:t xml:space="preserve"> adsorption and desorption were used to analyze six shale samples obtained from the Shuanghe section (Changning County) and wells YS118 and JY2 in the Sichuan Basin, China. Results of point-counting under the microscope show that alginite including type I and II is most abundant followed by bitumen and zooclasts of graptolites. The contents of alginite I, alginite II, and bitumen range from 12 vol% to 48 vol%, from 5 vol% to 35 vol%, and from 30 vol% to 48 vol%, respectively. Only few pores were found in graptolites. Thermal maturity, macerals, and palynomorphs have strong influences on the development of organic pores. In the analyzed samples, organic pores (&gt;10 nm) in shale with a maturity of &lt;2.5% Ro are larger and rounder than those in shale with a maturity of &gt;2.5% Ro. In addition, characteristics of organic pore in different maceral types are studied based on SEM and low-pressure N</w:t>
      </w:r>
      <w:r w:rsidRPr="004443A9">
        <w:rPr>
          <w:vertAlign w:val="subscript"/>
        </w:rPr>
        <w:t>2</w:t>
      </w:r>
      <w:r w:rsidRPr="004443A9">
        <w:t xml:space="preserve"> adsorption and desorption. Generally, alginite I and solid bitumen have larger and more abundant organic pores than other macerals. Alginite I and solid bitumen have approximately same porosity (~13.0 vol%) and same mean pore size (~180 nm). Pores in a lginite I are elongated and lattice-like arranged, however, pores in bitumen are spongy and vesicle pores. With respected to alginite I, alginite II has a more complicated pattern of organic-pore development. Some unicellular alginite II grains contain very few nanopores, whereas some aggregated alginite II host plenty of nanoscale organic pores. Detailed studies on the palynomorphs of macerals suggested that alginite I is sourced from benthic algae and alginite II are derived from phytoplankton. By comparing the development of organic pores in different palynomorphs, it was concluded that palynomorphs derived from different algae precursors and with distinct hydrocarbon potentials and hydrocarbon-generating characteristics affect the development of organic pores in alginite macerals in the over-mature stage.</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lastRenderedPageBreak/>
        <w:t xml:space="preserve">Hu, K., Mischo, H., </w:t>
      </w:r>
      <w:r w:rsidR="00616347">
        <w:t xml:space="preserve">2020. </w:t>
      </w:r>
      <w:r w:rsidRPr="004443A9">
        <w:t>High-pressure methane adsorption and desorption in shales from the Sichuan Basin, southwestern China. Energy &amp; Fuels 34, 2945-2957.</w:t>
      </w:r>
    </w:p>
    <w:p w:rsidR="00DB42FE" w:rsidRPr="004443A9" w:rsidRDefault="00DB42FE" w:rsidP="00616347">
      <w:pPr>
        <w:pStyle w:val="EndNoteBibliography"/>
        <w:ind w:left="360"/>
      </w:pPr>
      <w:r w:rsidRPr="004443A9">
        <w:t>https://doi.org/10.1021/acs.energyfuels.9b04142</w:t>
      </w:r>
    </w:p>
    <w:p w:rsidR="00DB42FE" w:rsidRPr="004443A9" w:rsidRDefault="00DB42FE" w:rsidP="00616347">
      <w:pPr>
        <w:pStyle w:val="EndNoteBibliography"/>
        <w:spacing w:after="0"/>
        <w:ind w:left="360"/>
      </w:pPr>
      <w:r w:rsidRPr="004443A9">
        <w:t>Adsorbed methane is an important component of shale gas. Methane desorption, commonly ignored, can affect gas production. Gaining a better understanding of methane sorption in shale is important for evaluating gas reserve and predicting gas production. This paper presents the results from a study of the methane adsorption and desorption of four shale samples from the Sichuan Basin, southwestern China. Adsorption experiments were performed on dry samples at temperatures of 40–100 °C to a maximum equilibrium pressure of 30 MPa. The desorption measurements were conducted at a temperature of 60 °C. Slight sorption hysteresis was observed over the entire pressure range for every sample. Both the three-parameter Langmuir model and the supercritical Dubinin–Radushkevich (sD-R) model were applied to describe the adsorption data. Model-fitted methane maximum absolute adsorption capacities (</w:t>
      </w:r>
      <w:r w:rsidRPr="004443A9">
        <w:rPr>
          <w:i/>
        </w:rPr>
        <w:t>n</w:t>
      </w:r>
      <w:r w:rsidRPr="004443A9">
        <w:rPr>
          <w:vertAlign w:val="subscript"/>
        </w:rPr>
        <w:t>0</w:t>
      </w:r>
      <w:r w:rsidRPr="004443A9">
        <w:t xml:space="preserve">) ranged from 1.83 to 3.04 mg/g at 40 °C, and </w:t>
      </w:r>
      <w:r w:rsidRPr="004443A9">
        <w:rPr>
          <w:i/>
        </w:rPr>
        <w:t>n</w:t>
      </w:r>
      <w:r w:rsidRPr="004443A9">
        <w:rPr>
          <w:vertAlign w:val="subscript"/>
        </w:rPr>
        <w:t>0</w:t>
      </w:r>
      <w:r w:rsidRPr="004443A9">
        <w:t xml:space="preserve"> increased linearly with increasing total organic carbon content. The decrease in </w:t>
      </w:r>
      <w:r w:rsidRPr="004443A9">
        <w:rPr>
          <w:i/>
        </w:rPr>
        <w:t>n</w:t>
      </w:r>
      <w:r w:rsidRPr="004443A9">
        <w:rPr>
          <w:vertAlign w:val="subscript"/>
        </w:rPr>
        <w:t>0</w:t>
      </w:r>
      <w:r w:rsidRPr="004443A9">
        <w:t xml:space="preserve"> with increasing temperature can also be represented by a linear model. The isosteric heat of adsorption ranged from 16.54 to 22.03 kJ/mol. A possible mechanism for sorption hysteresis is the irreversible swelling of micropore throats caused by methane adsorption. The swelling reduces the size of the pore throats and makes them smaller than the kinetic diameter of methane molecules so that when the pressure is reduced, more energy is required for the methane molecules in the pores to escape. Thus, fewer methane molecules can desorb from the material than were previously adsorbed at the same pressure.</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Hu, S., Wang, K., Wang, T., Yang, T., Luo, P., Shi, S., Wang, S., Su, J., </w:t>
      </w:r>
      <w:r w:rsidR="00616347">
        <w:t xml:space="preserve">2020. </w:t>
      </w:r>
      <w:r w:rsidRPr="004443A9">
        <w:t>Sedimentary environment and organic matter accumulation of Neoproterozoic black shale in the North China Craton: A case study of the Tonian Baishugou Formation in the Luonan area. Palaeogeography, Palaeoclimatology, Palaeoecology 547, 109694.</w:t>
      </w:r>
    </w:p>
    <w:p w:rsidR="00DB42FE" w:rsidRPr="004443A9" w:rsidRDefault="00DB42FE" w:rsidP="00616347">
      <w:pPr>
        <w:pStyle w:val="EndNoteBibliography"/>
        <w:ind w:left="360"/>
      </w:pPr>
      <w:r w:rsidRPr="004443A9">
        <w:t>http://www.sciencedirect.com/science/article/pii/S0031018220301395</w:t>
      </w:r>
    </w:p>
    <w:p w:rsidR="00DB42FE" w:rsidRPr="004443A9" w:rsidRDefault="00DB42FE" w:rsidP="00616347">
      <w:pPr>
        <w:pStyle w:val="EndNoteBibliography"/>
        <w:spacing w:after="0"/>
        <w:ind w:left="360"/>
      </w:pPr>
      <w:r w:rsidRPr="004443A9">
        <w:t>With acceleration of “oil exploration near the source” in the petroleum industry, black shales (BS) play an increasingly important role in oil and gas exploration. Meso-Neoproterozoic BS are well developed in the North China Craton (NCC), China, many of which are identified as potential hydrocarbon source rocks. Although BS from the Mesoproterozoic Era has been widely investigated, few studies were focused on the Neoproterozoic BS so far. Based on petrology and geochemistry analysis, the sedimentary environment, provenance and organic matter accumulation of two BS layers in the Tonian Baishugou Formation from Sujiacun section, Luonan Area, southern NCC were investigated. It suggests that the lower BS (LB) was deposited in a shallow and non-stratified cratonic-interior sea environment with unstable dysoxic or suboxic conditions. The seawater salinity increased from brackish to marine facies conditions due to the decrease of runoff caused by climate cooling. The Upper BS (UB) was deposited in an open paleomarine environment with stable suboxic conditions and brackish salinity in continuously humid and hot paleoclimate. Both BS were derived from granitoids formed by the ca.2.5 Ga collisional-thermal events in the NCC. The OM accumulation rate of UB is higher than that of UB while LB records lower OM loss rate. On these bases, two developmental modes for the BS from the Baishugou Formation were established.</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lastRenderedPageBreak/>
        <w:t xml:space="preserve">Hu, X., Kerckhof, F.-M., Ghesquière, J., Bernaerts, K., Boeckx, P., Clauwaert, P., Boon, N., </w:t>
      </w:r>
      <w:r w:rsidR="00616347">
        <w:t xml:space="preserve">2020. </w:t>
      </w:r>
      <w:r w:rsidRPr="004443A9">
        <w:t>Microbial protein out of thin air: Fixation of nitrogen gas by an autotrophic hydrogen-oxidizing bacterial enrichment. Environmental Science &amp; Technology 54, 3609-3617.</w:t>
      </w:r>
    </w:p>
    <w:p w:rsidR="00DB42FE" w:rsidRPr="004443A9" w:rsidRDefault="00DB42FE" w:rsidP="00616347">
      <w:pPr>
        <w:pStyle w:val="EndNoteBibliography"/>
        <w:ind w:left="360"/>
      </w:pPr>
      <w:r w:rsidRPr="004443A9">
        <w:t>https://doi.org/10.1021/acs.est.9b06755</w:t>
      </w:r>
    </w:p>
    <w:p w:rsidR="00DB42FE" w:rsidRPr="004443A9" w:rsidRDefault="00DB42FE" w:rsidP="00616347">
      <w:pPr>
        <w:pStyle w:val="EndNoteBibliography"/>
        <w:spacing w:after="0"/>
        <w:ind w:left="360"/>
      </w:pPr>
      <w:r w:rsidRPr="004443A9">
        <w:t>For the production of edible microbial protein (MP), ammonia generated by the Haber-Bosch process or reclaimed ammonia from waste streams is typically considered as the nitrogen source. These processes for ammonia production are highly energy intensive. In this study, the potential for using nitrogen gas (N</w:t>
      </w:r>
      <w:r w:rsidRPr="004443A9">
        <w:rPr>
          <w:vertAlign w:val="subscript"/>
        </w:rPr>
        <w:t>2</w:t>
      </w:r>
      <w:r w:rsidRPr="004443A9">
        <w:t>) as a direct nitrogen source for MP production by hydrogen-oxidizing bacteria (HOB) was evaluated. The use of N</w:t>
      </w:r>
      <w:r w:rsidRPr="004443A9">
        <w:rPr>
          <w:vertAlign w:val="subscript"/>
        </w:rPr>
        <w:t>2</w:t>
      </w:r>
      <w:r w:rsidRPr="004443A9">
        <w:t xml:space="preserve"> versus ammonium as nitrogen source during the enrichment process resulted in differentiation of the bacterial community composition of the enrichments. A few previously unknown potential N</w:t>
      </w:r>
      <w:r w:rsidRPr="004443A9">
        <w:rPr>
          <w:vertAlign w:val="subscript"/>
        </w:rPr>
        <w:t>2</w:t>
      </w:r>
      <w:r w:rsidRPr="004443A9">
        <w:t xml:space="preserve">-fixing HOB taxa (i.e., representatives of the genus </w:t>
      </w:r>
      <w:r w:rsidRPr="004443A9">
        <w:rPr>
          <w:i/>
        </w:rPr>
        <w:t>Azonexus</w:t>
      </w:r>
      <w:r w:rsidRPr="004443A9">
        <w:t xml:space="preserve"> and the family </w:t>
      </w:r>
      <w:r w:rsidRPr="004443A9">
        <w:rPr>
          <w:i/>
        </w:rPr>
        <w:t>Comamonadaceae</w:t>
      </w:r>
      <w:r w:rsidRPr="004443A9">
        <w:t>) dominated the enrichments. The biomass yield of a N</w:t>
      </w:r>
      <w:r w:rsidRPr="004443A9">
        <w:rPr>
          <w:vertAlign w:val="subscript"/>
        </w:rPr>
        <w:t>2</w:t>
      </w:r>
      <w:r w:rsidRPr="004443A9">
        <w:t>-fixing HOB enrichment was 30–50% lower than that of the ammonium-based HOB enrichment from the same inoculum source. The dried biomass of N</w:t>
      </w:r>
      <w:r w:rsidRPr="004443A9">
        <w:rPr>
          <w:vertAlign w:val="subscript"/>
        </w:rPr>
        <w:t>2</w:t>
      </w:r>
      <w:r w:rsidRPr="004443A9">
        <w:t>-fixing HOB had a high protein content (62.0 ± 6.3%) and an essential amino acid profile comparable to MP from ammonium-based HOB. MP from N</w:t>
      </w:r>
      <w:r w:rsidRPr="004443A9">
        <w:rPr>
          <w:vertAlign w:val="subscript"/>
        </w:rPr>
        <w:t>2</w:t>
      </w:r>
      <w:r w:rsidRPr="004443A9">
        <w:t>-fixing HOB could potentially be produced in situ without entailing the emissions caused by ammonia production and transportation by conventional means. It could be a promising substitute for N</w:t>
      </w:r>
      <w:r w:rsidRPr="004443A9">
        <w:rPr>
          <w:vertAlign w:val="subscript"/>
        </w:rPr>
        <w:t>2</w:t>
      </w:r>
      <w:r w:rsidRPr="004443A9">
        <w:t>-fixing protein-rich soybean because it has 70% higher protein content and double energy conversion efficiency from solar energy to biomass.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Hu, Y., Armstrong, R.T., Shikhov, I., Hung, T.T., Lee, B., Mostaghimi, P., </w:t>
      </w:r>
      <w:r w:rsidR="00616347">
        <w:t xml:space="preserve">2020. </w:t>
      </w:r>
      <w:r w:rsidRPr="004443A9">
        <w:t>Unsteady-state coreflooding monitored by positron emission tomography and X-ray computed tomography. SPE Journal 25, 242-252.</w:t>
      </w:r>
    </w:p>
    <w:p w:rsidR="00DB42FE" w:rsidRPr="004443A9" w:rsidRDefault="00DB42FE" w:rsidP="00616347">
      <w:pPr>
        <w:pStyle w:val="EndNoteBibliography"/>
        <w:ind w:left="360"/>
      </w:pPr>
      <w:r w:rsidRPr="004443A9">
        <w:t>https://doi.org/10.2118/195701-PA</w:t>
      </w:r>
    </w:p>
    <w:p w:rsidR="00DB42FE" w:rsidRPr="004443A9" w:rsidRDefault="00DB42FE" w:rsidP="00616347">
      <w:pPr>
        <w:pStyle w:val="EndNoteBibliography"/>
        <w:spacing w:after="0"/>
        <w:ind w:left="360"/>
      </w:pPr>
      <w:r w:rsidRPr="004443A9">
        <w:t>The forced-imbibition displacement process—a complex function of multiple physical properties of rock, fluids, and flow conditions—is of vital importance. For this paper we used imaging techniques to detect the process in three dimensions with high temporal resolution. Positron emission tomography (PET) is a powerful tool for imaging fluid transport in porous media because it has high temporal resolution and is not affected by complex lithology and pore structures. In this study, we conducted a detailed experimental and numerical analysis to prove how PET can be used with microcomputed tomography (micro-CT) to complement the imaging of water displacement in the porous space of sandstone. To characterize the rock properties, a dry sample was imaged with a high-resolution micro-CT scanner. The image was reconstructed and segmented into two phases (solid and void) to calculate the porosity/permeability relationship on cubic subsets. The Navier-Stokes equation was solved for permeability calculation. The porosity/permeability relationship was used as the input to simulate the forced imbibition process on an upscaled micro-CT image using the Matlab Reservoir Simulation Toolbox (MRST) (Lie et al. 2011; Krogstad et al. 2015; Lie 2016; Bao et al. 2017). The result was the evolution of invading-fluid saturation in every upscaled voxel. In the following step, water tracer labeled with fluorodeoxyglucose (</w:t>
      </w:r>
      <w:r w:rsidRPr="004443A9">
        <w:rPr>
          <w:vertAlign w:val="superscript"/>
        </w:rPr>
        <w:t>18</w:t>
      </w:r>
      <w:r w:rsidRPr="004443A9">
        <w:t>F-FDG) was injected into the dry sample and a series of PET images was acquired to detect fluid pathways. Fluid-front topology and a propagation procedure were captured. We integrated saturation data across the core cross section for both data sets (direct PET-based and MRST-simulated on upscaled tomograms) to reduce the complexity of the analysis. Comparison of the resulting 1D saturation profiles demonstrated the capability of PET imaging to monitor and understand dynamic flow processes in reservoir rocks.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Hu, Y., Wang, W., Zhou, C., </w:t>
      </w:r>
      <w:r w:rsidR="00616347">
        <w:t xml:space="preserve">2020. </w:t>
      </w:r>
      <w:r w:rsidRPr="004443A9">
        <w:t>Morphologic and isotopic characteristics of sedimentary pyrite: A case study from deepwater facies, Ediacaran Lantian Formation in South China. Acta Sedimentologica Sinica 38, 138-149 http://www.cjxb.ac.cn/EN/abstract/abstract4078.shtml</w:t>
      </w:r>
    </w:p>
    <w:p w:rsidR="00DB42FE" w:rsidRPr="004443A9" w:rsidRDefault="00DB42FE" w:rsidP="00616347">
      <w:pPr>
        <w:pStyle w:val="EndNoteBibliography"/>
        <w:spacing w:after="0"/>
        <w:ind w:left="360"/>
      </w:pPr>
      <w:r w:rsidRPr="004443A9">
        <w:t>In the low-oxygen atmospheric conditions during the Neoproterozoic,continental sulfate was a major oxidant in anoxic deep ocean water. Bacterial sulfate reduction(BSR)caused significant isotopic fractionation between seawater sulfates and sedimentary pyrite,which reveals the paleo-ocean redox conditions. Sedimentary pyrite occurs in a variety of forms in sedimentary rocks,each indicating its depositional process and microenvironment. For example,most framboidal pyrite was deposited from the euxinic bottom water or in surface sediments overlain by oxic or suboxic bottom water. Large-grained single-crystal pyrite mainly formed in pore-water during early diagenesis,and pyrite veins were formed by late hydrothermal activity;neither of these indicate paleo-ocean redox conditions. Identifying sedimentary pyrite morphologies and determining their formation processes are fundamental for determining the sulfur isotopes of the ancient seawater. In this study,sedimentary pyrite morphological types and formation processes are briefly summarized,along with morphological observations and sulfur isotope analyses for pyrite in fresh drill-core samples of Ediacaran Lantian Formation(deep-water facies)in the southern Anhui Province,South China. The morphologies and contents of the pyrite were found to vary in different lithological samples. Euhedral crystal and framboidal pyrites preserved in Lantian Formation black shales have better morphology than in carbonates,indicating that less crystal alteration took place during late diagenesis in the black shales. The sulfur isotope content in large-grained pyrite(</w:t>
      </w:r>
      <w:r w:rsidRPr="004443A9">
        <w:rPr>
          <w:i/>
        </w:rPr>
        <w:t>δ</w:t>
      </w:r>
      <w:r w:rsidRPr="004443A9">
        <w:rPr>
          <w:vertAlign w:val="superscript"/>
        </w:rPr>
        <w:t>34</w:t>
      </w:r>
      <w:r w:rsidRPr="004443A9">
        <w:t>S</w:t>
      </w:r>
      <w:r w:rsidRPr="004443A9">
        <w:rPr>
          <w:vertAlign w:val="subscript"/>
        </w:rPr>
        <w:t>L-pyr</w:t>
      </w:r>
      <w:r w:rsidRPr="004443A9">
        <w:t>)is generally greater than in bulk rock samples(</w:t>
      </w:r>
      <w:r w:rsidRPr="004443A9">
        <w:rPr>
          <w:i/>
        </w:rPr>
        <w:t>δ</w:t>
      </w:r>
      <w:r w:rsidRPr="004443A9">
        <w:rPr>
          <w:vertAlign w:val="superscript"/>
        </w:rPr>
        <w:t>34</w:t>
      </w:r>
      <w:r w:rsidRPr="004443A9">
        <w:t>S</w:t>
      </w:r>
      <w:r w:rsidRPr="004443A9">
        <w:rPr>
          <w:vertAlign w:val="subscript"/>
        </w:rPr>
        <w:t>T-pyr</w:t>
      </w:r>
      <w:r w:rsidRPr="004443A9">
        <w:t>),with differences up to 48.16‰. The study suggests that analysis of sedimentary pyrite with different morphologies is needed to obtain reliable sulfur isotope values indicative of seawater redox conditions. High resolution analysis requires secondary ion mass spectrometry (SIMS)measurements on individual pyrite crystals and framboids.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Hu, Y., Xu, Y., He, W., Zhang, C., Kang, X., Zeng, Y., Luo, J., Sun, Y., Zeng, H., Zhao, S., Yan, G., </w:t>
      </w:r>
      <w:r w:rsidR="00616347">
        <w:t xml:space="preserve">2020. </w:t>
      </w:r>
      <w:r w:rsidRPr="004443A9">
        <w:t>The application of steranoid fingerprint compounds in the calculation of the single-layer productivity of heavy oil commingled producing wells in the Qinhuangdao 32-6 oilfield. Journal of Petroleum Science and Engineering 190, 107075.</w:t>
      </w:r>
    </w:p>
    <w:p w:rsidR="00DB42FE" w:rsidRPr="004443A9" w:rsidRDefault="00DB42FE" w:rsidP="00616347">
      <w:pPr>
        <w:pStyle w:val="EndNoteBibliography"/>
        <w:ind w:left="360"/>
      </w:pPr>
      <w:r w:rsidRPr="004443A9">
        <w:t>http://www.sciencedirect.com/science/article/pii/S0920410520301686</w:t>
      </w:r>
    </w:p>
    <w:p w:rsidR="00DB42FE" w:rsidRPr="004443A9" w:rsidRDefault="00DB42FE" w:rsidP="00616347">
      <w:pPr>
        <w:pStyle w:val="EndNoteBibliography"/>
        <w:spacing w:after="0"/>
        <w:ind w:left="360"/>
      </w:pPr>
      <w:r w:rsidRPr="004443A9">
        <w:t>The Qinhuangdao 32-6 oilfield is currently mostly a two-layer combined production well, so it is urgent to clarify the contribution of single-layer productivity to carry out targeted production measures. However, because the target formation is composed of heavy oil, it is impossible to carry out conventional liquid production profile logging. Using Ng1 and Ng2 as examples of two layers of heavy oil combined production wells, this paper combines two single layers of heavy oil with different weights in the laboratory. Fingerprint compound parameters with good linear relationships to the mixing ratio of crude oil were validated and screened by examining the whole-oil gas chromatography-mass spectrometry results using chromatographic principles for reference. The results show that the ratio of 5α(H),14β(H)-homopregnane/5α(H),14β(H)-pregnane has a very good linear relationship with the mixing ratio of crude oil, in which R</w:t>
      </w:r>
      <w:r w:rsidRPr="004443A9">
        <w:rPr>
          <w:vertAlign w:val="superscript"/>
        </w:rPr>
        <w:t>2</w:t>
      </w:r>
      <w:r w:rsidRPr="004443A9">
        <w:t xml:space="preserve"> = 0.997. The contribution ratio of the single-layer productivity of 8 heavy oil wells produced by Ng1 and Ng2 is calculated according to the established chart. Combining dynamic production monitoring, logging interpretation and seismic inversion results, it is confirmed that the water shutoff in a high producing aquifer can effectively </w:t>
      </w:r>
      <w:r w:rsidRPr="004443A9">
        <w:lastRenderedPageBreak/>
        <w:t>reduce its oil production ratio. The Ng2 sand body of the A25 well with relatively poor physical properties contributes less to oil production; however, because of the large size of the sand body, the effect of the fracturing transformation is better. Comprehensive research shows that sand bodies with better connectivity and greater thicknesses are the main contributors to productivity and will be the focus of future research. Fracturing effect research should be carried out to improve the productivity contribution ratio in sand bodies with relatively poor physical properties. The results of this study provide a scientific basis for monitoring the production performance of oil wells, for stratified reservoir management and for determining the future steps of two-layer combined heavy oil recovery wells; in addition, the results of this study provide a new geochemical calculation method for the single-layer productivity contribution of heavy oil two-layer combined production wells because conventional liquid production profile logging technology cannot be implemented.</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Huang, J., Jin, T., Barrufet, M., Killough, J., </w:t>
      </w:r>
      <w:r w:rsidR="00616347">
        <w:t xml:space="preserve">2020. </w:t>
      </w:r>
      <w:r w:rsidRPr="004443A9">
        <w:t>Evaluation of CO</w:t>
      </w:r>
      <w:r w:rsidRPr="004443A9">
        <w:rPr>
          <w:vertAlign w:val="subscript"/>
        </w:rPr>
        <w:t>2</w:t>
      </w:r>
      <w:r w:rsidRPr="004443A9">
        <w:t xml:space="preserve"> injection into shale gas reservoirs considering dispersed distribution of kerogen. Applied Energy 260, 114285.</w:t>
      </w:r>
    </w:p>
    <w:p w:rsidR="00DB42FE" w:rsidRPr="004443A9" w:rsidRDefault="00DB42FE" w:rsidP="00616347">
      <w:pPr>
        <w:pStyle w:val="EndNoteBibliography"/>
        <w:ind w:left="360"/>
      </w:pPr>
      <w:r w:rsidRPr="004443A9">
        <w:t>http://www.sciencedirect.com/science/article/pii/S0306261919319725</w:t>
      </w:r>
    </w:p>
    <w:p w:rsidR="00DB42FE" w:rsidRPr="004443A9" w:rsidRDefault="00DB42FE" w:rsidP="00616347">
      <w:pPr>
        <w:pStyle w:val="EndNoteBibliography"/>
        <w:spacing w:after="0"/>
        <w:ind w:left="360"/>
      </w:pPr>
      <w:r w:rsidRPr="004443A9">
        <w:t>Injection of CO</w:t>
      </w:r>
      <w:r w:rsidRPr="004443A9">
        <w:rPr>
          <w:vertAlign w:val="subscript"/>
        </w:rPr>
        <w:t>2</w:t>
      </w:r>
      <w:r w:rsidRPr="004443A9">
        <w:t xml:space="preserve"> into shale gas reservoir has gained great interest due to its potential for both enhanced gas recovery and permanent CO</w:t>
      </w:r>
      <w:r w:rsidRPr="004443A9">
        <w:rPr>
          <w:vertAlign w:val="subscript"/>
        </w:rPr>
        <w:t>2</w:t>
      </w:r>
      <w:r w:rsidRPr="004443A9">
        <w:t xml:space="preserve"> sequestration. It is revealed that the heterogeneous shale rock is comprised of organic matter (kerogen) and inorganic matter (including clay, quartz, pyrite etc.) and kerogen is a dispersed phase. The distinct physio-chemical properties between organic and inorganic matter that reflect in the matrix permeability, pore size, wettability and gas occurring status, lead to different gas transport and flow performance in porous media. However, most previous studies built up the simulation models by using one continuum in shale matrix without distinguishing organic and inorganic matter, which may lead to inaccurate evaluation of CO</w:t>
      </w:r>
      <w:r w:rsidRPr="004443A9">
        <w:rPr>
          <w:vertAlign w:val="subscript"/>
        </w:rPr>
        <w:t>2</w:t>
      </w:r>
      <w:r w:rsidRPr="004443A9">
        <w:t xml:space="preserve"> injection performance. In this work, the shale matrix is subdivided into organic matrix and inorganic matrix with their unique characteristics. The organic matrix is dispersed and embedded in the inorganic matrix. The inorganic matrix is directly connected to the hydraulic/natural fractures that created explicitly by embedded discrete fracture model. Both huff-n-puff and gas flooding schemes in shale gas reservoir are examined. The simulation results indicate that the CO</w:t>
      </w:r>
      <w:r w:rsidRPr="004443A9">
        <w:rPr>
          <w:vertAlign w:val="subscript"/>
        </w:rPr>
        <w:t>2</w:t>
      </w:r>
      <w:r w:rsidRPr="004443A9">
        <w:t xml:space="preserve"> storage capacity of shale reservoir is significantly reduced if dispersed distribution of kerogen is considered. Most of injected CO</w:t>
      </w:r>
      <w:r w:rsidRPr="004443A9">
        <w:rPr>
          <w:vertAlign w:val="subscript"/>
        </w:rPr>
        <w:t>2</w:t>
      </w:r>
      <w:r w:rsidRPr="004443A9">
        <w:t xml:space="preserve"> enters inorganic pores while limited amount of CO</w:t>
      </w:r>
      <w:r w:rsidRPr="004443A9">
        <w:rPr>
          <w:vertAlign w:val="subscript"/>
        </w:rPr>
        <w:t>2</w:t>
      </w:r>
      <w:r w:rsidRPr="004443A9">
        <w:t xml:space="preserve"> can contact the kerogen due to the low flow conductivity between organic and inorganic matrix. The CO</w:t>
      </w:r>
      <w:r w:rsidRPr="004443A9">
        <w:rPr>
          <w:vertAlign w:val="subscript"/>
        </w:rPr>
        <w:t>2</w:t>
      </w:r>
      <w:r w:rsidRPr="004443A9">
        <w:t xml:space="preserve"> in inorganic pores will be quickly reproduced without replacing adsorbed methane in kerogen. Sensitivity tests show that total organic carbon and injection rate have trivial effects on the efficiency of CO</w:t>
      </w:r>
      <w:r w:rsidRPr="004443A9">
        <w:rPr>
          <w:vertAlign w:val="subscript"/>
        </w:rPr>
        <w:t>2</w:t>
      </w:r>
      <w:r w:rsidRPr="004443A9">
        <w:t xml:space="preserve"> injection while gas diffusion is a key factor for evaluation.</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Huang, L., Khoshnood, A., Firoozabadi, A., </w:t>
      </w:r>
      <w:r w:rsidR="00616347">
        <w:t xml:space="preserve">2020. </w:t>
      </w:r>
      <w:r w:rsidRPr="004443A9">
        <w:t>Swelling of Kimmeridge kerogen by normal-alkanes, naphthenes and aromatics. Fuel 267, 117155.</w:t>
      </w:r>
    </w:p>
    <w:p w:rsidR="00DB42FE" w:rsidRPr="004443A9" w:rsidRDefault="00DB42FE" w:rsidP="00616347">
      <w:pPr>
        <w:pStyle w:val="EndNoteBibliography"/>
        <w:ind w:left="360"/>
      </w:pPr>
      <w:r w:rsidRPr="004443A9">
        <w:t>http://www.sciencedirect.com/science/article/pii/S0016236120301502</w:t>
      </w:r>
    </w:p>
    <w:p w:rsidR="00DB42FE" w:rsidRPr="004443A9" w:rsidRDefault="00DB42FE" w:rsidP="00616347">
      <w:pPr>
        <w:pStyle w:val="EndNoteBibliography"/>
        <w:spacing w:after="0"/>
        <w:ind w:left="360"/>
      </w:pPr>
      <w:r w:rsidRPr="004443A9">
        <w:t xml:space="preserve">Despite recognition of kerogen swelling in liquid solvents, swelling trends in different classes of petroleum liquids remain unexplored. Modeling results based on the extended polymer theory have not been beyond curve-fitting of swelling measurements. This work centers on measurement of swelling of Kimmeridge kerogen in three classes of petroleum liquids: normal-alkanes, naphthenes and aromatics. The measured data show that swelling decreases as the molecular size increases for </w:t>
      </w:r>
      <w:r w:rsidRPr="004443A9">
        <w:lastRenderedPageBreak/>
        <w:t>the three classes of solvents. Compared with naphthenes, normal-alkanes with flexible linear chains, and aromatics having π–π interaction with kerogen induce higher swelling. In the Kimmeridge kerogen, the swelling in both normal-alkanes and naphthenes monotonously decreases with the solvent solubility parameter and molar volume starting with hydrocarbon molecules with 5 carbon atoms. Compared with solvent solubility parameter, the effect of solvent molar volume dominates the swelling of Kimmeridge kerogen. The extended Flory-Rehner and regular solution theory framework does not describe the swelling behavior of Kimmeridge kerogen in petroleum liquids despite widespread applications of the framework. Results from the model show an increase in swelling in normal alkanes with molecular size which is opposite to our measurements.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Huang, Y., Tarantola, A., Lu, W., Caumon, M.-C., He, S., Zhuang, X., Yan, D., Pironon, J., Wang, W., </w:t>
      </w:r>
      <w:r w:rsidR="00616347">
        <w:t xml:space="preserve">2020. </w:t>
      </w:r>
      <w:r w:rsidRPr="004443A9">
        <w:t>CH</w:t>
      </w:r>
      <w:r w:rsidRPr="004443A9">
        <w:rPr>
          <w:vertAlign w:val="subscript"/>
        </w:rPr>
        <w:t>4</w:t>
      </w:r>
      <w:r w:rsidRPr="004443A9">
        <w:t xml:space="preserve"> accumulation characteristics and relationship with deep CO</w:t>
      </w:r>
      <w:r w:rsidRPr="004443A9">
        <w:rPr>
          <w:vertAlign w:val="subscript"/>
        </w:rPr>
        <w:t>2</w:t>
      </w:r>
      <w:r w:rsidRPr="004443A9">
        <w:t xml:space="preserve"> fluid in Lishui sag, East China Sea Basin. Applied Geochemistry 115, 104563.</w:t>
      </w:r>
    </w:p>
    <w:p w:rsidR="00DB42FE" w:rsidRPr="004443A9" w:rsidRDefault="00DB42FE" w:rsidP="00616347">
      <w:pPr>
        <w:pStyle w:val="EndNoteBibliography"/>
        <w:ind w:left="360"/>
      </w:pPr>
      <w:r w:rsidRPr="004443A9">
        <w:t>http://www.sciencedirect.com/science/article/pii/S0883292720300445</w:t>
      </w:r>
    </w:p>
    <w:p w:rsidR="00DB42FE" w:rsidRPr="004443A9" w:rsidRDefault="00DB42FE" w:rsidP="00616347">
      <w:pPr>
        <w:pStyle w:val="EndNoteBibliography"/>
        <w:spacing w:after="0"/>
        <w:ind w:left="360"/>
      </w:pPr>
      <w:r w:rsidRPr="004443A9">
        <w:t>Co-accumulation of carbon dioxide and hydrocarbon gas is common and widely existing in oil and gas basins. Such two natural pools are located in Lishui sag (East China Sea Shelf Basin), as a favorable prospecting area for exploration. CO</w:t>
      </w:r>
      <w:r w:rsidRPr="004443A9">
        <w:rPr>
          <w:vertAlign w:val="subscript"/>
        </w:rPr>
        <w:t>2</w:t>
      </w:r>
      <w:r w:rsidRPr="004443A9">
        <w:t xml:space="preserve"> gas derived from inorganic mantle sources and CO</w:t>
      </w:r>
      <w:r w:rsidRPr="004443A9">
        <w:rPr>
          <w:vertAlign w:val="subscript"/>
        </w:rPr>
        <w:t>2</w:t>
      </w:r>
      <w:r w:rsidRPr="004443A9">
        <w:t xml:space="preserve"> accumulation times have been investigated. In this study, petrographic observation shows pure CH</w:t>
      </w:r>
      <w:r w:rsidRPr="004443A9">
        <w:rPr>
          <w:vertAlign w:val="subscript"/>
        </w:rPr>
        <w:t>4</w:t>
      </w:r>
      <w:r w:rsidRPr="004443A9">
        <w:t>, CH</w:t>
      </w:r>
      <w:r w:rsidRPr="004443A9">
        <w:rPr>
          <w:vertAlign w:val="subscript"/>
        </w:rPr>
        <w:t>4</w:t>
      </w:r>
      <w:r w:rsidRPr="004443A9">
        <w:t>-rich, H</w:t>
      </w:r>
      <w:r w:rsidRPr="004443A9">
        <w:rPr>
          <w:vertAlign w:val="subscript"/>
        </w:rPr>
        <w:t>2</w:t>
      </w:r>
      <w:r w:rsidRPr="004443A9">
        <w:t>O-rich and hybrid CH</w:t>
      </w:r>
      <w:r w:rsidRPr="004443A9">
        <w:rPr>
          <w:vertAlign w:val="subscript"/>
        </w:rPr>
        <w:t>4</w:t>
      </w:r>
      <w:r w:rsidRPr="004443A9">
        <w:t>-CO</w:t>
      </w:r>
      <w:r w:rsidRPr="004443A9">
        <w:rPr>
          <w:vertAlign w:val="subscript"/>
        </w:rPr>
        <w:t>2</w:t>
      </w:r>
      <w:r w:rsidRPr="004443A9">
        <w:t xml:space="preserve"> fluid inclusions exist in healed micro-fractures and overgrowths of quartz mineral in Palaeocene reservoirs of Lishui sag. The pressure–temperature–time–composition (</w:t>
      </w:r>
      <w:r w:rsidRPr="004443A9">
        <w:rPr>
          <w:i/>
        </w:rPr>
        <w:t>PVT</w:t>
      </w:r>
      <w:r w:rsidRPr="004443A9">
        <w:t>–</w:t>
      </w:r>
      <w:r w:rsidRPr="004443A9">
        <w:rPr>
          <w:i/>
        </w:rPr>
        <w:t>x</w:t>
      </w:r>
      <w:r w:rsidRPr="004443A9">
        <w:t>) properties of CH</w:t>
      </w:r>
      <w:r w:rsidRPr="004443A9">
        <w:rPr>
          <w:vertAlign w:val="subscript"/>
        </w:rPr>
        <w:t>4</w:t>
      </w:r>
      <w:r w:rsidRPr="004443A9">
        <w:t xml:space="preserve">-bearing inclusions were obtained by Raman quantitative analysis and thermodynamic models. These results provide important constraints on the </w:t>
      </w:r>
      <w:r w:rsidRPr="004443A9">
        <w:rPr>
          <w:i/>
        </w:rPr>
        <w:t>P-T</w:t>
      </w:r>
      <w:r w:rsidRPr="004443A9">
        <w:t xml:space="preserve"> entrapment conditions and predict relative accumulation time of CH</w:t>
      </w:r>
      <w:r w:rsidRPr="004443A9">
        <w:rPr>
          <w:vertAlign w:val="subscript"/>
        </w:rPr>
        <w:t>4</w:t>
      </w:r>
      <w:r w:rsidRPr="004443A9">
        <w:t xml:space="preserve"> fluid. Combination of carbon isotope analyses, inclusion petrography, microthermometry, </w:t>
      </w:r>
      <w:r w:rsidRPr="004443A9">
        <w:rPr>
          <w:i/>
        </w:rPr>
        <w:t>PT</w:t>
      </w:r>
      <w:r w:rsidRPr="004443A9">
        <w:t xml:space="preserve"> entrapment conditions of CH</w:t>
      </w:r>
      <w:r w:rsidRPr="004443A9">
        <w:rPr>
          <w:vertAlign w:val="subscript"/>
        </w:rPr>
        <w:t>4</w:t>
      </w:r>
      <w:r w:rsidRPr="004443A9">
        <w:t>-bearing inclusions, hydrocarbon generation and simulation of burial history permit to assign periods of CH</w:t>
      </w:r>
      <w:r w:rsidRPr="004443A9">
        <w:rPr>
          <w:vertAlign w:val="subscript"/>
        </w:rPr>
        <w:t>4</w:t>
      </w:r>
      <w:r w:rsidRPr="004443A9">
        <w:t xml:space="preserve"> fluid activity and its sequence with CO</w:t>
      </w:r>
      <w:r w:rsidRPr="004443A9">
        <w:rPr>
          <w:vertAlign w:val="subscript"/>
        </w:rPr>
        <w:t>2</w:t>
      </w:r>
      <w:r w:rsidRPr="004443A9">
        <w:t xml:space="preserve"> fluid. Methane charging time occurs during two stages in LS-A: low density CH</w:t>
      </w:r>
      <w:r w:rsidRPr="004443A9">
        <w:rPr>
          <w:vertAlign w:val="subscript"/>
        </w:rPr>
        <w:t>4</w:t>
      </w:r>
      <w:r w:rsidRPr="004443A9">
        <w:t xml:space="preserve"> fluid (~0.10 g/cm</w:t>
      </w:r>
      <w:r w:rsidRPr="004443A9">
        <w:rPr>
          <w:vertAlign w:val="superscript"/>
        </w:rPr>
        <w:t>3</w:t>
      </w:r>
      <w:r w:rsidRPr="004443A9">
        <w:t xml:space="preserve"> or lower) were trapped during late Oligocene (30-20 Ma) and high density (&gt;0.115 g/cm</w:t>
      </w:r>
      <w:r w:rsidRPr="004443A9">
        <w:rPr>
          <w:vertAlign w:val="superscript"/>
        </w:rPr>
        <w:t>3</w:t>
      </w:r>
      <w:r w:rsidRPr="004443A9">
        <w:t>) during a Pliocene (8-1 Ma) CH</w:t>
      </w:r>
      <w:r w:rsidRPr="004443A9">
        <w:rPr>
          <w:vertAlign w:val="subscript"/>
        </w:rPr>
        <w:t>4</w:t>
      </w:r>
      <w:r w:rsidRPr="004443A9">
        <w:t xml:space="preserve"> accumulation event. CO</w:t>
      </w:r>
      <w:r w:rsidRPr="004443A9">
        <w:rPr>
          <w:vertAlign w:val="subscript"/>
        </w:rPr>
        <w:t>2</w:t>
      </w:r>
      <w:r w:rsidRPr="004443A9">
        <w:t xml:space="preserve"> fluid accumulation (Miocene, 21-4 Ma) displaced the methane gas trapped in the early stage. Pliocene CH</w:t>
      </w:r>
      <w:r w:rsidRPr="004443A9">
        <w:rPr>
          <w:vertAlign w:val="subscript"/>
        </w:rPr>
        <w:t>4</w:t>
      </w:r>
      <w:r w:rsidRPr="004443A9">
        <w:t xml:space="preserve"> fluid partial displaced Miocene CO</w:t>
      </w:r>
      <w:r w:rsidRPr="004443A9">
        <w:rPr>
          <w:vertAlign w:val="subscript"/>
        </w:rPr>
        <w:t>2</w:t>
      </w:r>
      <w:r w:rsidRPr="004443A9">
        <w:t xml:space="preserve"> fluid. In well B, only high density (0.144–0.153 g/cm</w:t>
      </w:r>
      <w:r w:rsidRPr="004443A9">
        <w:rPr>
          <w:vertAlign w:val="superscript"/>
        </w:rPr>
        <w:t>3</w:t>
      </w:r>
      <w:r w:rsidRPr="004443A9">
        <w:t>) recorded a late Oligocene to early Miocene (36-19 Ma) CH</w:t>
      </w:r>
      <w:r w:rsidRPr="004443A9">
        <w:rPr>
          <w:vertAlign w:val="subscript"/>
        </w:rPr>
        <w:t>4</w:t>
      </w:r>
      <w:r w:rsidRPr="004443A9">
        <w:t xml:space="preserve"> accumulation event, Pliocene (5-3 Ma) CO</w:t>
      </w:r>
      <w:r w:rsidRPr="004443A9">
        <w:rPr>
          <w:vertAlign w:val="subscript"/>
        </w:rPr>
        <w:t>2</w:t>
      </w:r>
      <w:r w:rsidRPr="004443A9">
        <w:t xml:space="preserve"> fluid displaced early CH</w:t>
      </w:r>
      <w:r w:rsidRPr="004443A9">
        <w:rPr>
          <w:vertAlign w:val="subscript"/>
        </w:rPr>
        <w:t>4</w:t>
      </w:r>
      <w:r w:rsidRPr="004443A9">
        <w:t xml:space="preserve"> fluid. Micro-thermometry, composition of fluid inclusion, features of reservoir, thermal maturity reflect hydrothermal fluid vertical migration and the existence of Supercritical CO</w:t>
      </w:r>
      <w:r w:rsidRPr="004443A9">
        <w:rPr>
          <w:vertAlign w:val="subscript"/>
        </w:rPr>
        <w:t>2</w:t>
      </w:r>
      <w:r w:rsidRPr="004443A9">
        <w:t xml:space="preserve"> extraction.</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Huffard, C.L., Durkin, C.A., Wilson, S.E., McGill, P.R., Henthorn, R., Smith, K.L., </w:t>
      </w:r>
      <w:r w:rsidR="00616347">
        <w:t xml:space="preserve">2020. </w:t>
      </w:r>
      <w:r w:rsidRPr="004443A9">
        <w:t>Temporally-resolved mechanisms of deep-ocean particle flux and impact on the seafloor carbon cycle in the northeast Pacific. Deep Sea Research Part II: Topical Studies in Oceanography 173, 104763.</w:t>
      </w:r>
    </w:p>
    <w:p w:rsidR="00DB42FE" w:rsidRPr="004443A9" w:rsidRDefault="00DB42FE" w:rsidP="00616347">
      <w:pPr>
        <w:pStyle w:val="EndNoteBibliography"/>
        <w:ind w:left="360"/>
      </w:pPr>
      <w:r w:rsidRPr="004443A9">
        <w:t>http://www.sciencedirect.com/science/article/pii/S0967064519302395</w:t>
      </w:r>
    </w:p>
    <w:p w:rsidR="00DB42FE" w:rsidRPr="004443A9" w:rsidRDefault="00DB42FE" w:rsidP="00616347">
      <w:pPr>
        <w:pStyle w:val="EndNoteBibliography"/>
        <w:spacing w:after="0"/>
        <w:ind w:left="360"/>
      </w:pPr>
      <w:r w:rsidRPr="004443A9">
        <w:t xml:space="preserve">High-temporal-resolution views of particle flux to the abyssal benthic boundary layer are provided for an eight-month period (October 2014–June 2015) at the long-term monitoring site Station M within the California Current ecosystem. Contributions of fecal pellets and aggregates to particulate organic carbon (POC) flux at 3900 m depth were estimated based on optical sediment trap </w:t>
      </w:r>
      <w:r w:rsidRPr="004443A9">
        <w:lastRenderedPageBreak/>
        <w:t>(Sedimentation Event Sensor) images captured as a time-series of 2 h collections. POC flux estimated from Sedimentation Event Sensor (SES) images explained variation in carbon consumption and the carbon budget balance (supply – demand) with finer resolution than POC flux measurements from bulk collections by a concurrently deployed conventional sediment trap. Indicators of particle transport by benthic boundary layer currents and active transport by zooplankton were evaluated by comparing SES-estimated POC flux to measured current speed and direction, hours since solar noon, and modeled lunar illumination at the surface. Influence of particles (fecal pellets and aggregates) on the carbon budget was evaluated by comparing particle-specific contributions to POC flux with sediment community oxygen consumption (SCOC) measured by the Benthic Rover at 4000 m depth. During the eight-month sampling period, salp fecal pellets delivered an estimated 45% of the total POC flux to the benthic boundary layer and were responsible for an estimated 74% of a temporary carbon surplus in May and June 2015. Salp fecal pellets also appeared to be the primary source of chlorophyll peaks at the site. By contrast, most aggregates appeared to be lower-quality particles possibly sourced from lateral advection and local rebound of recently-settled detritus, which settled according to spring-neap tidal oscillations. Some aggregates may have been fresher, as suggested by non-linear relationships with SCOC and the carbon budget balance. Results suggest sinking particles packaged in surface waters and reaching abyssal depths in fresh condition (e.g. salp fecal pellets) had a greater influence on carbon consumption (e.g. SCOC) and the carbon budget balance than more refractory particles.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Hurtig, N.C., Georgiev, S.V., Zimmerman, A., Yang, G., Goswami, V., Hannah, J.L., Stein, H.J., </w:t>
      </w:r>
      <w:r w:rsidR="00616347">
        <w:t xml:space="preserve">2020. </w:t>
      </w:r>
      <w:r w:rsidRPr="004443A9">
        <w:t>Re-Os geochronology for the NIST RM 8505 crude oil: The importance of analytical protocol and uncertainty. Chemical Geology 539, 119381.</w:t>
      </w:r>
    </w:p>
    <w:p w:rsidR="00DB42FE" w:rsidRPr="004443A9" w:rsidRDefault="00DB42FE" w:rsidP="00616347">
      <w:pPr>
        <w:pStyle w:val="EndNoteBibliography"/>
        <w:ind w:left="360"/>
      </w:pPr>
      <w:r w:rsidRPr="004443A9">
        <w:t>http://www.sciencedirect.com/science/article/pii/S0009254119305108</w:t>
      </w:r>
    </w:p>
    <w:p w:rsidR="00DB42FE" w:rsidRPr="004443A9" w:rsidRDefault="00DB42FE" w:rsidP="00616347">
      <w:pPr>
        <w:pStyle w:val="EndNoteBibliography"/>
        <w:ind w:left="360"/>
      </w:pPr>
      <w:r w:rsidRPr="004443A9">
        <w:t>The National Institute of Science and Technology (NIST) research material (RM) 8505 is a Venezuelan crude oil certified for its vanadium concentration. It has recently been proposed as a matrix-matched standard for interlaboratory comparison of Re-Os isotopic analyses while serving as a benchmark for petroleum-based Re-Os method development. Here, the NIST RM 8505 oil is characterized using a multi-solvent asphaltene precipitation, permitting interlaboratory Re-Os data comparison and evaluation of techniques used to derive Re-Os isochron ages. We present a detailed discussion of analytical blank sources, critical evaluation of analytical uncertainties, method improvements and data corrections. Additionally, we provide a comprehensive discussion on the effect of data population size and analytical uncertainty on isochron statistics and the robustness of isochron ages. In addition to NIST RM 8505 (2.43 ± 0.15 ng/g Re, 30.0 ± 0.7 pg/g Os), we provide the first Re-Os data for NIST SRM 1634c (1.73 ± 0.01 ng/g Re, 32.5 ± 0.8 pg/g Os) and EnviroMAT SCP Science (39 ± 1 pg/g Re, 1.01 ± 0.02 pg/g Os), two other commercially available hydrocarbon trace metal standards.</w:t>
      </w:r>
    </w:p>
    <w:p w:rsidR="00DB42FE" w:rsidRPr="004443A9" w:rsidRDefault="00DB42FE" w:rsidP="00616347">
      <w:pPr>
        <w:pStyle w:val="EndNoteBibliography"/>
        <w:ind w:left="360"/>
      </w:pPr>
      <w:r w:rsidRPr="004443A9">
        <w:t xml:space="preserve">The application of several asphaltene (ASPH) precipitations using different n-alkane solvents (pentane, heptane and decane) for the NIST RM 8505 significantly improved the spread of data in the </w:t>
      </w:r>
      <w:r w:rsidRPr="004443A9">
        <w:rPr>
          <w:vertAlign w:val="superscript"/>
        </w:rPr>
        <w:t>187</w:t>
      </w:r>
      <w:r w:rsidRPr="004443A9">
        <w:t>Re/</w:t>
      </w:r>
      <w:r w:rsidRPr="004443A9">
        <w:rPr>
          <w:vertAlign w:val="superscript"/>
        </w:rPr>
        <w:t>188</w:t>
      </w:r>
      <w:r w:rsidRPr="004443A9">
        <w:t>Os-</w:t>
      </w:r>
      <w:r w:rsidRPr="004443A9">
        <w:rPr>
          <w:vertAlign w:val="superscript"/>
        </w:rPr>
        <w:t>187</w:t>
      </w:r>
      <w:r w:rsidRPr="004443A9">
        <w:t>Os/</w:t>
      </w:r>
      <w:r w:rsidRPr="004443A9">
        <w:rPr>
          <w:vertAlign w:val="superscript"/>
        </w:rPr>
        <w:t>188</w:t>
      </w:r>
      <w:r w:rsidRPr="004443A9">
        <w:t xml:space="preserve">Os space. Multi-solvent asphaltene precipitations yield an asphaltene-only Model 1 isochron (75 ± 24 Ma) and the maltene-crude oil-asphaltene triplets yield a more precise Model 1 isochron age of 78.5 ± 2.3 Ma with a </w:t>
      </w:r>
      <w:r w:rsidRPr="004443A9">
        <w:rPr>
          <w:vertAlign w:val="superscript"/>
        </w:rPr>
        <w:t>187</w:t>
      </w:r>
      <w:r w:rsidRPr="004443A9">
        <w:t>Os/</w:t>
      </w:r>
      <w:r w:rsidRPr="004443A9">
        <w:rPr>
          <w:vertAlign w:val="superscript"/>
        </w:rPr>
        <w:t>188</w:t>
      </w:r>
      <w:r w:rsidRPr="004443A9">
        <w:t>Os</w:t>
      </w:r>
      <w:r w:rsidRPr="004443A9">
        <w:rPr>
          <w:vertAlign w:val="subscript"/>
        </w:rPr>
        <w:t>initial</w:t>
      </w:r>
      <w:r w:rsidRPr="004443A9">
        <w:t xml:space="preserve"> of 0.877 ± 0.021. Our age is considerably older compared to a previously reported Model 1 age of 62.7 ± 5.7 Ma based on C</w:t>
      </w:r>
      <w:r w:rsidRPr="004443A9">
        <w:rPr>
          <w:vertAlign w:val="subscript"/>
        </w:rPr>
        <w:t>7</w:t>
      </w:r>
      <w:r w:rsidRPr="004443A9">
        <w:t xml:space="preserve"> ASPH-crude oil-MALT triplets (Liu and Selby, 2017) and considerably younger than the Model 1 age </w:t>
      </w:r>
      <w:r w:rsidRPr="004443A9">
        <w:lastRenderedPageBreak/>
        <w:t>of 98.4 ± 9.5 Ma based on ASPH separates (Liu et al., 2019). The analytical reasons leading to these age differences are discussed in this paper.</w:t>
      </w:r>
    </w:p>
    <w:p w:rsidR="00DB42FE" w:rsidRPr="004443A9" w:rsidRDefault="00DB42FE" w:rsidP="00616347">
      <w:pPr>
        <w:pStyle w:val="EndNoteBibliography"/>
        <w:spacing w:after="0"/>
        <w:ind w:left="360"/>
      </w:pPr>
      <w:r w:rsidRPr="004443A9">
        <w:t>The geological context for the NIST 8505 oil is unknown, therefore we use trace metal data (Ni, V, Fe, Mo, etc.) to derive plausible constraints for the origin of this oil. The NIST 8505 oil shows trace metal data similar to published data for oils from the Urdaneta district, the La Paz, Mara and Lagunillas oil fields and source rocks of the La Luna Formation in the Maracaibo Basin, Venezuela. In this geological context, our ~79 Ma age for the NIST 8505 oil implies a Late Cretaceous early hydrocarbon generation event from older Upper Cretaceous source rocks and overlaps with the youngest age of potential source rocks in the Maracaibo Basin. However, the age of large-scale oil generation in the Maracaibo Basin is significantly younger, lasting from the Oligocene to the Pliocene.</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Hussain, C.M., </w:t>
      </w:r>
      <w:r w:rsidR="00616347">
        <w:t xml:space="preserve">2020. </w:t>
      </w:r>
      <w:r w:rsidRPr="004443A9">
        <w:t>The Handbook of Environmental Remediation: Classic and Modern Techniques Royal Society of Chemistry, p. 506.</w:t>
      </w:r>
    </w:p>
    <w:p w:rsidR="00DB42FE" w:rsidRPr="004443A9" w:rsidRDefault="00DB42FE" w:rsidP="00616347">
      <w:pPr>
        <w:pStyle w:val="EndNoteBibliography"/>
        <w:ind w:left="360"/>
      </w:pPr>
      <w:r w:rsidRPr="004443A9">
        <w:t>https://doi.org/10.1039/9781788016261</w:t>
      </w:r>
    </w:p>
    <w:p w:rsidR="00DB42FE" w:rsidRPr="004443A9" w:rsidRDefault="00DB42FE" w:rsidP="00616347">
      <w:pPr>
        <w:pStyle w:val="EndNoteBibliography"/>
        <w:ind w:left="360"/>
      </w:pPr>
      <w:r w:rsidRPr="004443A9">
        <w:t>Environmental remediation technologies to control or prevent pollution from hazardous waste material is a growing research area in academia and industry, and is a matter of utmost concern to public health, to improve ecology and to facilitate the redevelopment of a contaminated site. Recently, in situ and ex situ remediation technologies have been developed to rectify the contaminated sites, utilizing various tools and devices through physical, chemical, biological, electrical, and thermal processes to restrain, remove, extract, and immobilize mechanisms to minimize the contamination effects. This handbook brings altogether classical and emerging techniques for hazardous wastes, municipal solid wastes and contaminated water sites, combining chemical, biological and engineering control methods to provide a one-stop reference.</w:t>
      </w:r>
    </w:p>
    <w:p w:rsidR="00DB42FE" w:rsidRPr="004443A9" w:rsidRDefault="00DB42FE" w:rsidP="00616347">
      <w:pPr>
        <w:pStyle w:val="EndNoteBibliography"/>
        <w:ind w:left="360"/>
      </w:pPr>
      <w:r w:rsidRPr="004443A9">
        <w:t>This handbook presents a comprehensive and thorough description of several remediation techniques for contaminated sites resulting from both natural processes and anthropogenic activities. Providing critical insights into a range of treatments from chemical oxidation, thermal treatment, air sparging, electrokinetic remediation, stabilization/solidification, permeable reactive barriers, thermal desorption and incineration, phytoremediation, biostimulation and bioaugmentation, bioventing and biosparging through ultrasound-assisted remediation methods, electrochemical remediation methods, and nanoremediation, this handbook provides the reader an inclusive and detailed overview and then discusses future research directions. Closing chapters on green sustainable remediation, economics, health and safety issues, and environmental regulations around site remediation will make this a must-have handbook for those working in the field.</w:t>
      </w:r>
    </w:p>
    <w:p w:rsidR="00DB42FE" w:rsidRPr="004443A9" w:rsidRDefault="00DB42FE" w:rsidP="000A2352">
      <w:pPr>
        <w:pStyle w:val="EndNoteBibliography"/>
        <w:spacing w:after="0"/>
        <w:ind w:left="1530" w:hanging="1170"/>
      </w:pPr>
      <w:r w:rsidRPr="004443A9">
        <w:t>Chapter 1 : Innovation in Environmental Remediation Methods, Sukanchan Palit and Chaudhery Mustansar Hussain, 1-23</w:t>
      </w:r>
    </w:p>
    <w:p w:rsidR="00DB42FE" w:rsidRPr="004443A9" w:rsidRDefault="00DB42FE" w:rsidP="000A2352">
      <w:pPr>
        <w:pStyle w:val="EndNoteBibliography"/>
        <w:spacing w:after="0"/>
        <w:ind w:left="1530" w:hanging="1170"/>
      </w:pPr>
      <w:r w:rsidRPr="004443A9">
        <w:t>Chapter 2 : Hazardous Wastes – Types and Sources, Saurabh Shukla, Rajiv Ganguly and Chaudhery Mustansar Hussain, 24-52</w:t>
      </w:r>
    </w:p>
    <w:p w:rsidR="00DB42FE" w:rsidRPr="004443A9" w:rsidRDefault="00DB42FE" w:rsidP="000A2352">
      <w:pPr>
        <w:pStyle w:val="EndNoteBibliography"/>
        <w:spacing w:after="0"/>
        <w:ind w:left="1530" w:hanging="1170"/>
      </w:pPr>
      <w:r w:rsidRPr="004443A9">
        <w:t>Chapter 3 : Thermal Treatment, František Kaštánek, Pavel Topka, Karel Soukup and Olga Šolcová, 53-87</w:t>
      </w:r>
    </w:p>
    <w:p w:rsidR="00DB42FE" w:rsidRPr="004443A9" w:rsidRDefault="00DB42FE" w:rsidP="000A2352">
      <w:pPr>
        <w:pStyle w:val="EndNoteBibliography"/>
        <w:spacing w:after="0"/>
        <w:ind w:left="1530" w:hanging="1170"/>
      </w:pPr>
      <w:r w:rsidRPr="004443A9">
        <w:t>Chapter 4 : Soil Vapor Extraction: Fundamentals, Theory (Permeability and Gas–Non-aqueous Phase Liquid Mass Transfer Coefficient) and Applications, Otmane Boudouch, Mariem Kacem and Belkacem Benadda, 88-120</w:t>
      </w:r>
    </w:p>
    <w:p w:rsidR="00DB42FE" w:rsidRPr="004443A9" w:rsidRDefault="00DB42FE" w:rsidP="000A2352">
      <w:pPr>
        <w:pStyle w:val="EndNoteBibliography"/>
        <w:spacing w:after="0"/>
        <w:ind w:left="1530" w:hanging="1170"/>
      </w:pPr>
      <w:r w:rsidRPr="004443A9">
        <w:lastRenderedPageBreak/>
        <w:t>Chapter 5 : Electrokinetic Remediation, Elisama Vieira Dos Santos, Sergio Ferro and Marco Vocciante, 121-144</w:t>
      </w:r>
    </w:p>
    <w:p w:rsidR="00DB42FE" w:rsidRPr="004443A9" w:rsidRDefault="00DB42FE" w:rsidP="000A2352">
      <w:pPr>
        <w:pStyle w:val="EndNoteBibliography"/>
        <w:spacing w:after="0"/>
        <w:ind w:left="1530" w:hanging="1170"/>
      </w:pPr>
      <w:r w:rsidRPr="004443A9">
        <w:t>Chapter 6 : Stabilization/Solidification, Julia A. Stegemann and Amitava Roy, 145-190</w:t>
      </w:r>
    </w:p>
    <w:p w:rsidR="00DB42FE" w:rsidRPr="004443A9" w:rsidRDefault="00DB42FE" w:rsidP="000A2352">
      <w:pPr>
        <w:pStyle w:val="EndNoteBibliography"/>
        <w:spacing w:after="0"/>
        <w:ind w:left="1530" w:hanging="1170"/>
      </w:pPr>
      <w:r w:rsidRPr="004443A9">
        <w:t>Chapter 7 : Permeable Reactive Barriers (PRBs) for Environmental Site Remediation, Elena Torres and Paloma Gómez, 191-228</w:t>
      </w:r>
    </w:p>
    <w:p w:rsidR="00DB42FE" w:rsidRPr="004443A9" w:rsidRDefault="00DB42FE" w:rsidP="000A2352">
      <w:pPr>
        <w:pStyle w:val="EndNoteBibliography"/>
        <w:spacing w:after="0"/>
        <w:ind w:left="1530" w:hanging="1170"/>
      </w:pPr>
      <w:r w:rsidRPr="004443A9">
        <w:t>Chapter 8 : Thermal Desorption and Incineration, Karima Guemiza, Thana Saffar, Mouna Gmar, Sara Magdouli and Takoua Foudhaili, 229-253</w:t>
      </w:r>
    </w:p>
    <w:p w:rsidR="00DB42FE" w:rsidRPr="004443A9" w:rsidRDefault="00DB42FE" w:rsidP="000A2352">
      <w:pPr>
        <w:pStyle w:val="EndNoteBibliography"/>
        <w:spacing w:after="0"/>
        <w:ind w:left="1530" w:hanging="1170"/>
      </w:pPr>
      <w:r w:rsidRPr="004443A9">
        <w:t>Chapter 9 : Green Technique for the Remediation of Soil Using Composting, Perminder Jit Kaur, Garima Chauhan, Geetanjali Kaushik and Chaudhery Mustansar Hussain, 254-267</w:t>
      </w:r>
    </w:p>
    <w:p w:rsidR="00DB42FE" w:rsidRPr="004443A9" w:rsidRDefault="00DB42FE" w:rsidP="000A2352">
      <w:pPr>
        <w:pStyle w:val="EndNoteBibliography"/>
        <w:spacing w:after="0"/>
        <w:ind w:left="1530" w:hanging="1170"/>
      </w:pPr>
      <w:r w:rsidRPr="004443A9">
        <w:t>Chapter 10 : Phytoremediation, Antonio Cristaldi, Chiara Copat, Gea Oliveri Conti, Pietro Zuccarello, Alfina Grasso and Margherita Ferrante, 268-298</w:t>
      </w:r>
    </w:p>
    <w:p w:rsidR="00DB42FE" w:rsidRPr="004443A9" w:rsidRDefault="00DB42FE" w:rsidP="000A2352">
      <w:pPr>
        <w:pStyle w:val="EndNoteBibliography"/>
        <w:spacing w:after="0"/>
        <w:ind w:left="1530" w:hanging="1170"/>
      </w:pPr>
      <w:r w:rsidRPr="004443A9">
        <w:t>Chapter 11 : Biostimulation and Bioaugmentation: Modern Strategies for the Successful Bioremediation of Contaminated Environments, Saranya Kuppusamy, Kadiyala Venkateswarlu, Mallavarapu Megharaj, Namasivayam Vasudevan and Yong Bok Lee, 299-330</w:t>
      </w:r>
    </w:p>
    <w:p w:rsidR="00DB42FE" w:rsidRPr="004443A9" w:rsidRDefault="00DB42FE" w:rsidP="000A2352">
      <w:pPr>
        <w:pStyle w:val="EndNoteBibliography"/>
        <w:spacing w:after="0"/>
        <w:ind w:left="1530" w:hanging="1170"/>
      </w:pPr>
      <w:r w:rsidRPr="004443A9">
        <w:t>Chapter 12 : Strategies for Enhancing Soil Phytoremediation and Biomass Valorization, Ana P. G. C. Marques, Nídia S. C. Caetano and Paula M. L. Castro, 331-356</w:t>
      </w:r>
    </w:p>
    <w:p w:rsidR="00DB42FE" w:rsidRPr="004443A9" w:rsidRDefault="00DB42FE" w:rsidP="000A2352">
      <w:pPr>
        <w:pStyle w:val="EndNoteBibliography"/>
        <w:spacing w:after="0"/>
        <w:ind w:left="1530" w:hanging="1170"/>
      </w:pPr>
      <w:r w:rsidRPr="004443A9">
        <w:t>Chapter 13 : Landfarming: A Green Remediation Technique, Perminder Jit Kaur, Umesh Chandra, Chaudhery Mustansar Hussain and Geetanjali Kaushik, 257-378</w:t>
      </w:r>
    </w:p>
    <w:p w:rsidR="00DB42FE" w:rsidRPr="004443A9" w:rsidRDefault="00DB42FE" w:rsidP="000A2352">
      <w:pPr>
        <w:pStyle w:val="EndNoteBibliography"/>
        <w:spacing w:after="0"/>
        <w:ind w:left="1530" w:hanging="1170"/>
      </w:pPr>
      <w:r w:rsidRPr="004443A9">
        <w:t>Chapter 14 : Ultrasound-assisted Remediation Methods, Teresa Castelo-Grande, Paulo A. Augusto and Domingos Barbosa, 379-409</w:t>
      </w:r>
    </w:p>
    <w:p w:rsidR="00DB42FE" w:rsidRPr="004443A9" w:rsidRDefault="00DB42FE" w:rsidP="000A2352">
      <w:pPr>
        <w:pStyle w:val="EndNoteBibliography"/>
        <w:spacing w:after="0"/>
        <w:ind w:left="1530" w:hanging="1170"/>
      </w:pPr>
      <w:r w:rsidRPr="004443A9">
        <w:t>Chapter 15 : Electrochemical Methods for Environmental Remediation, Paola Villegas Guzman and Carlos A. Martinez-Huitle, 410-442</w:t>
      </w:r>
    </w:p>
    <w:p w:rsidR="00DB42FE" w:rsidRPr="004443A9" w:rsidRDefault="00DB42FE" w:rsidP="000A2352">
      <w:pPr>
        <w:pStyle w:val="EndNoteBibliography"/>
        <w:spacing w:after="0"/>
        <w:ind w:left="1530" w:hanging="1170"/>
      </w:pPr>
      <w:r w:rsidRPr="004443A9">
        <w:t>Chapter 16 : Nanoremediation, Saurabh Shukla, Ramsha Khan and Chaudhery Mustansar Hussain, 443-467</w:t>
      </w:r>
    </w:p>
    <w:p w:rsidR="00DB42FE" w:rsidRPr="004443A9" w:rsidRDefault="00DB42FE" w:rsidP="000A2352">
      <w:pPr>
        <w:pStyle w:val="EndNoteBibliography"/>
        <w:spacing w:after="0"/>
        <w:ind w:left="1530" w:hanging="1170"/>
      </w:pPr>
      <w:r w:rsidRPr="004443A9">
        <w:t>Chapter 17 : Economic, Legal and Safety Issues of Environmental Site Remediation, Rajiv Ganguly and Chaudhery Mustansar Hussain, 468-486</w:t>
      </w:r>
    </w:p>
    <w:p w:rsidR="00DB42FE" w:rsidRPr="004443A9" w:rsidRDefault="00DB42FE" w:rsidP="000A2352">
      <w:pPr>
        <w:pStyle w:val="EndNoteBibliography"/>
        <w:spacing w:after="0"/>
        <w:ind w:left="1530" w:hanging="1170"/>
      </w:pPr>
      <w:r w:rsidRPr="004443A9">
        <w:t>Chapter 18 : Future of Environmental Remediation Methods, Sukanchan Palit and Chaudhery Mustansar Hussain, 487-495</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Ibrar, M., Ullah, M.W., Manan, S., Farooq, U., Rafiq, M., Hasan, F., </w:t>
      </w:r>
      <w:r w:rsidR="00616347">
        <w:t xml:space="preserve">2020. </w:t>
      </w:r>
      <w:r w:rsidRPr="004443A9">
        <w:t>Fungi from the extremes of life: an untapped treasure for bioactive compounds. Applied Microbiology and Biotechnology 104, 2777-2801.</w:t>
      </w:r>
    </w:p>
    <w:p w:rsidR="00DB42FE" w:rsidRPr="004443A9" w:rsidRDefault="00DB42FE" w:rsidP="00616347">
      <w:pPr>
        <w:pStyle w:val="EndNoteBibliography"/>
        <w:ind w:left="360"/>
      </w:pPr>
      <w:r w:rsidRPr="004443A9">
        <w:t>https://doi.org/10.1007/s00253-020-10399-0</w:t>
      </w:r>
    </w:p>
    <w:p w:rsidR="00DB42FE" w:rsidRPr="004443A9" w:rsidRDefault="00DB42FE" w:rsidP="00616347">
      <w:pPr>
        <w:pStyle w:val="EndNoteBibliography"/>
        <w:spacing w:after="0"/>
        <w:ind w:left="360"/>
      </w:pPr>
      <w:r w:rsidRPr="004443A9">
        <w:t xml:space="preserve">More than 80% of the Earth surface is consisted of hostile and harsh environments, classified as extreme from an anthropogenic perspective. Microorganisms with acclimatized nature dominate these extreme ecosystems of the biosphere. Survivals in such environments initiate an inductive force leading to the production of noteworthy metabolites having peculiar biochemistry. Recent investigations on extremophilic fungi for unprecedented bioactive compounds emphasize their remarkable potential as sources of new therapeutics. The present review covers the literature published in the last 15 years and highlights the biological activities and structure of compounds isolated from the extremophilic fungi. The compounds are grouped based on their biological functions such as cytotoxicity, lipid-lowering ability, and antimicrobial, antioxidant, nematocidal, anti-inflammatory, anti-malarial, and antifouling activities. A total of 155 compounds isolated from 25 </w:t>
      </w:r>
      <w:r w:rsidRPr="004443A9">
        <w:rPr>
          <w:i/>
        </w:rPr>
        <w:t>Penicillium</w:t>
      </w:r>
      <w:r w:rsidRPr="004443A9">
        <w:t xml:space="preserve"> species, 16 </w:t>
      </w:r>
      <w:r w:rsidRPr="004443A9">
        <w:rPr>
          <w:i/>
        </w:rPr>
        <w:t>Aspergillus</w:t>
      </w:r>
      <w:r w:rsidRPr="004443A9">
        <w:t xml:space="preserve"> species, and 23 other species are presented, which include 105 new and 50 known bioactive compounds. Out of these, 77 have known cytotoxic activity and 46 are </w:t>
      </w:r>
      <w:r w:rsidRPr="004443A9">
        <w:lastRenderedPageBreak/>
        <w:t>antimicrobial in nature, while there are 32 other compounds with different activities including nematocidal, anti-allergic, antioxidant, and anti-inflammatory.</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Iddphonce, R., Wang, J., Zhao, L., </w:t>
      </w:r>
      <w:r w:rsidR="00616347">
        <w:t xml:space="preserve">2020. </w:t>
      </w:r>
      <w:r w:rsidRPr="004443A9">
        <w:t>Review of CO</w:t>
      </w:r>
      <w:r w:rsidRPr="004443A9">
        <w:rPr>
          <w:vertAlign w:val="subscript"/>
        </w:rPr>
        <w:t>2</w:t>
      </w:r>
      <w:r w:rsidRPr="004443A9">
        <w:t xml:space="preserve"> injection techniques for enhanced shale gas recovery: Prospect and challenges. Journal of Natural Gas Science and Engineering 77, 103240.</w:t>
      </w:r>
    </w:p>
    <w:p w:rsidR="00DB42FE" w:rsidRPr="004443A9" w:rsidRDefault="00DB42FE" w:rsidP="00616347">
      <w:pPr>
        <w:pStyle w:val="EndNoteBibliography"/>
        <w:ind w:left="360"/>
      </w:pPr>
      <w:r w:rsidRPr="004443A9">
        <w:t>http://www.sciencedirect.com/science/article/pii/S1875510020300949</w:t>
      </w:r>
    </w:p>
    <w:p w:rsidR="00DB42FE" w:rsidRPr="004443A9" w:rsidRDefault="00DB42FE" w:rsidP="00616347">
      <w:pPr>
        <w:pStyle w:val="EndNoteBibliography"/>
        <w:spacing w:after="0"/>
        <w:ind w:left="360"/>
      </w:pPr>
      <w:r w:rsidRPr="004443A9">
        <w:t>CO</w:t>
      </w:r>
      <w:r w:rsidRPr="004443A9">
        <w:rPr>
          <w:vertAlign w:val="subscript"/>
        </w:rPr>
        <w:t>2</w:t>
      </w:r>
      <w:r w:rsidRPr="004443A9">
        <w:t xml:space="preserve"> injection is a promising technique that not only enhances shale gas recovery but also achieves geological storage of CO</w:t>
      </w:r>
      <w:r w:rsidRPr="004443A9">
        <w:rPr>
          <w:vertAlign w:val="subscript"/>
        </w:rPr>
        <w:t>2</w:t>
      </w:r>
      <w:r w:rsidRPr="004443A9">
        <w:t>. This paper reviewed the performance of CO</w:t>
      </w:r>
      <w:r w:rsidRPr="004443A9">
        <w:rPr>
          <w:vertAlign w:val="subscript"/>
        </w:rPr>
        <w:t>2</w:t>
      </w:r>
      <w:r w:rsidRPr="004443A9">
        <w:t xml:space="preserve"> injection techniques based on simulations and field test studies. We observed that CO</w:t>
      </w:r>
      <w:r w:rsidRPr="004443A9">
        <w:rPr>
          <w:vertAlign w:val="subscript"/>
        </w:rPr>
        <w:t>2</w:t>
      </w:r>
      <w:r w:rsidRPr="004443A9">
        <w:t xml:space="preserve"> injection can be practical and successful in a hydraulically fractured shale. The techniques can lead up to 26% more methane production after primary recovery, and sequester more than 60% of the injected CO</w:t>
      </w:r>
      <w:r w:rsidRPr="004443A9">
        <w:rPr>
          <w:vertAlign w:val="subscript"/>
        </w:rPr>
        <w:t>2</w:t>
      </w:r>
      <w:r w:rsidRPr="004443A9">
        <w:t xml:space="preserve"> for continuous CO</w:t>
      </w:r>
      <w:r w:rsidRPr="004443A9">
        <w:rPr>
          <w:vertAlign w:val="subscript"/>
        </w:rPr>
        <w:t>2</w:t>
      </w:r>
      <w:r w:rsidRPr="004443A9">
        <w:t xml:space="preserve"> injection, while for huff-n-puff higher amount of CO</w:t>
      </w:r>
      <w:r w:rsidRPr="004443A9">
        <w:rPr>
          <w:vertAlign w:val="subscript"/>
        </w:rPr>
        <w:t>2</w:t>
      </w:r>
      <w:r w:rsidRPr="004443A9">
        <w:t xml:space="preserve"> is reproduced. Reservoir pressure gradient, competitive adsorption, flow dynamics, and shale properties were found as essential factors controlling CH</w:t>
      </w:r>
      <w:r w:rsidRPr="004443A9">
        <w:rPr>
          <w:vertAlign w:val="subscript"/>
        </w:rPr>
        <w:t>4</w:t>
      </w:r>
      <w:r w:rsidRPr="004443A9">
        <w:t xml:space="preserve"> recovery and CO</w:t>
      </w:r>
      <w:r w:rsidRPr="004443A9">
        <w:rPr>
          <w:vertAlign w:val="subscript"/>
        </w:rPr>
        <w:t>2</w:t>
      </w:r>
      <w:r w:rsidRPr="004443A9">
        <w:t xml:space="preserve"> storage. Despite the flow dynamics of gases being important for predicting gas production and storage, most simulations described it based on models suitable for well connected fractures and homogenous shale. Moreover, these models are incapable of analyzing fluid flow in stimulated fractures. Future studies on CO</w:t>
      </w:r>
      <w:r w:rsidRPr="004443A9">
        <w:rPr>
          <w:vertAlign w:val="subscript"/>
        </w:rPr>
        <w:t>2</w:t>
      </w:r>
      <w:r w:rsidRPr="004443A9">
        <w:t xml:space="preserve"> injection should address the issue of higher CO</w:t>
      </w:r>
      <w:r w:rsidRPr="004443A9">
        <w:rPr>
          <w:vertAlign w:val="subscript"/>
        </w:rPr>
        <w:t>2</w:t>
      </w:r>
      <w:r w:rsidRPr="004443A9">
        <w:t xml:space="preserve"> reproduction during the huff-n-puff, the effects of moisture content, induced effects on shale matrix properties by CO</w:t>
      </w:r>
      <w:r w:rsidRPr="004443A9">
        <w:rPr>
          <w:vertAlign w:val="subscript"/>
        </w:rPr>
        <w:t>2</w:t>
      </w:r>
      <w:r w:rsidRPr="004443A9">
        <w:t xml:space="preserve"> injection, the kinetics of CO</w:t>
      </w:r>
      <w:r w:rsidRPr="004443A9">
        <w:rPr>
          <w:vertAlign w:val="subscript"/>
        </w:rPr>
        <w:t>2</w:t>
      </w:r>
      <w:r w:rsidRPr="004443A9">
        <w:t>–CH</w:t>
      </w:r>
      <w:r w:rsidRPr="004443A9">
        <w:rPr>
          <w:vertAlign w:val="subscript"/>
        </w:rPr>
        <w:t>4</w:t>
      </w:r>
      <w:r w:rsidRPr="004443A9">
        <w:t xml:space="preserve"> competitive adsorption, flow dynamics of multicomponent gas, and consider the complex pore system of a heterogeneous shale.</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Ikeda, M., Tada, R., </w:t>
      </w:r>
      <w:r w:rsidR="00616347">
        <w:t xml:space="preserve">2020. </w:t>
      </w:r>
      <w:r w:rsidRPr="004443A9">
        <w:t>Reconstruction of the chaotic behavior of the Solar System from geologic records. Earth and Planetary Science Letters 537, 116168.</w:t>
      </w:r>
    </w:p>
    <w:p w:rsidR="00DB42FE" w:rsidRPr="004443A9" w:rsidRDefault="00DB42FE" w:rsidP="00616347">
      <w:pPr>
        <w:pStyle w:val="EndNoteBibliography"/>
        <w:ind w:left="360"/>
      </w:pPr>
      <w:r w:rsidRPr="004443A9">
        <w:t>http://www.sciencedirect.com/science/article/pii/S0012821X20301114</w:t>
      </w:r>
    </w:p>
    <w:p w:rsidR="00DB42FE" w:rsidRPr="004443A9" w:rsidRDefault="00DB42FE" w:rsidP="00616347">
      <w:pPr>
        <w:pStyle w:val="EndNoteBibliography"/>
        <w:spacing w:after="0"/>
        <w:ind w:left="360"/>
      </w:pPr>
      <w:r w:rsidRPr="004443A9">
        <w:t xml:space="preserve">Astronomical solutions for planetary orbits beyond several tens of million years (Myr) ago have large uncertainties due to the chaotic nature of the Solar System, mainly Myr-scale cycles related with the Earth-Mars secular resonance. Our only accessible archive for unraveling the Earth's orbital variations in the geologic past are sedimentological records, yet their reliability and uncertainties are still debated. Here, we describe Myr-scale orbital signals of early Mesozoic monsoon records from two different sedimentary settings (lake level records of the equatorial Pangea and biogenic silica burial flux of deep-sea Panthalassa), along with a marine carbon isotope compilation. Although most of the dominant multi-Myr cycles are not exactly of the same frequency, 1.8 Myr cycles during </w:t>
      </w:r>
      <w:r w:rsidRPr="004443A9">
        <w:rPr>
          <w:rFonts w:ascii="Cambria Math" w:hAnsi="Cambria Math" w:cs="Cambria Math"/>
        </w:rPr>
        <w:t>∼</w:t>
      </w:r>
      <w:r w:rsidRPr="004443A9">
        <w:t>216</w:t>
      </w:r>
      <w:r w:rsidRPr="004443A9">
        <w:rPr>
          <w:rFonts w:cs="Calibri"/>
        </w:rPr>
        <w:t>–</w:t>
      </w:r>
      <w:r w:rsidRPr="004443A9">
        <w:t>210 Ma are detected from the two mutually-independent sedimentary settings, and differ from available astronomical solutions. This finding provides not only convincing evidence for the chaotic nature of the Solar System in the geological past, but also additional constraints on astronomical models. On the other hand, besides the orbital cycles, tectonic forcing and consequent climatic perturbations could also have affected the proxies on multi-Myr timescales during episodes of large igneous province emplacement, such as Siberian trap volcanism (252–245 Ma), Wrangellia (233–225 Ma), Central Atlantic Magmatic Province (202–200 Ma), and Karoo-Ferrar volcanism (184–180 Ma). If we can distinguish orbital signals from other effects, such as tectonic and volcanic processes, the multi-Myr cycles in geologic records have the potential to reconstruct the chaotic evolution of the Solar System.</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lastRenderedPageBreak/>
        <w:t xml:space="preserve">Ikejiri, T., Lu, Y., Zhang, B., </w:t>
      </w:r>
      <w:r w:rsidR="00616347">
        <w:t xml:space="preserve">2020. </w:t>
      </w:r>
      <w:r w:rsidRPr="004443A9">
        <w:t>Two-step extinction of Late Cretaceous marine vertebrates in northern Gulf of Mexico prolonged biodiversity loss prior to the Chicxulub impact. Scientific Reports 10, 4169.</w:t>
      </w:r>
    </w:p>
    <w:p w:rsidR="00DB42FE" w:rsidRPr="004443A9" w:rsidRDefault="00DB42FE" w:rsidP="00616347">
      <w:pPr>
        <w:pStyle w:val="EndNoteBibliography"/>
        <w:ind w:left="360"/>
      </w:pPr>
      <w:r w:rsidRPr="004443A9">
        <w:t>https://doi.org/10.1038/s41598-020-61089-w</w:t>
      </w:r>
    </w:p>
    <w:p w:rsidR="00DB42FE" w:rsidRPr="004443A9" w:rsidRDefault="00DB42FE" w:rsidP="00616347">
      <w:pPr>
        <w:pStyle w:val="EndNoteBibliography"/>
        <w:spacing w:after="0"/>
        <w:ind w:left="360"/>
      </w:pPr>
      <w:r w:rsidRPr="004443A9">
        <w:t>Recent studies on mass extinctions are often based on the global fossil record, but data from selected paleogeographic regions under a relatively constant paleoenvironmental setting can also provide important information. Eighty-nine marine vertebrate species, including cartilaginous and bony fish and marine reptiles, from northern Gulf of Mexico – located about 500 km from the Chicxulub crater – offer a unique opportunity to determine an extinction process during the last 20 million years of the Late Cretaceous. Our diversity data show two separate extinction events: (i) the ‘Middle Campanian Crisis’ (about 77 Mya) and (ii) the end-Maastrichtian (66 Mya) events. Whether this stepwise pattern of extinctions occurred locally or globally cannot be determined at present due to the lack of a dataset of the marine vertebrate record for reliable comparison. However, this stepwise pattern including the Middle Campanian and end-Maastrichtian events for, at least, a 13 million-year interval indicates long-term global marine environmental changes (e.g., regression, ocean water chemistry change). Because most Cretaceous marine vertebrates already disappeared in the Gulf of Mexico prior to the latest Maastrichtian, the Chicxulub Impact may not be considered as the most devastating extinction event for the community.</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Isobe, K., Bouskill, N.J., Brodie, E.L., Sudderth, E.A., Martiny, J.B.H., </w:t>
      </w:r>
      <w:r w:rsidR="00616347">
        <w:t xml:space="preserve">2020. </w:t>
      </w:r>
      <w:r w:rsidRPr="004443A9">
        <w:t>Phylogenetic conservation of soil bacterial responses to simulated global changes. Philosophical Transactions of the Royal Society B: Biological Sciences 375, 20190242.</w:t>
      </w:r>
    </w:p>
    <w:p w:rsidR="00DB42FE" w:rsidRPr="004443A9" w:rsidRDefault="00DB42FE" w:rsidP="00616347">
      <w:pPr>
        <w:pStyle w:val="EndNoteBibliography"/>
        <w:ind w:left="360"/>
      </w:pPr>
      <w:r w:rsidRPr="004443A9">
        <w:t>https://doi.org/10.1098/rstb.2019.0242</w:t>
      </w:r>
    </w:p>
    <w:p w:rsidR="00DB42FE" w:rsidRPr="004443A9" w:rsidRDefault="00DB42FE" w:rsidP="00616347">
      <w:pPr>
        <w:pStyle w:val="EndNoteBibliography"/>
        <w:spacing w:after="0"/>
        <w:ind w:left="360"/>
      </w:pPr>
      <w:r w:rsidRPr="004443A9">
        <w:t>Soil bacterial communities are altered by anthropogenic drivers such as climate change-related warming and fertilization. However, we lack a predictive understanding of how bacterial communities respond to such global changes. Here, we tested whether phylogenetic information might be more predictive of the response of bacterial taxa to some forms of global change than others. We analysed the composition of soil bacterial communities from perturbation experiments that simulated warming, drought, elevated CO</w:t>
      </w:r>
      <w:r w:rsidRPr="004443A9">
        <w:rPr>
          <w:vertAlign w:val="subscript"/>
        </w:rPr>
        <w:t>2</w:t>
      </w:r>
      <w:r w:rsidRPr="004443A9">
        <w:t xml:space="preserve"> concentration and phosphorus (P) addition. Bacterial responses were phylogenetically conserved to all perturbations. The phylogenetic depth of these responses varied minimally among the types of perturbations and was similar when merging data across locations, implying that the context of particular locations did not affect the phylogenetic pattern of response. We further identified taxonomic groups that responded consistently to each type of perturbation. These patterns revealed that, at the level of family and above, most groups responded consistently to only one or two types of perturbations, suggesting that traits with different patterns of phylogenetic conservation underlie the responses to different perturbations. We conclude that a phylogenetic approach may be useful in predicting how soil bacterial communities respond to a variety of global changes.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Jain, A., Gralnick, J.A., </w:t>
      </w:r>
      <w:r w:rsidR="00616347">
        <w:t xml:space="preserve">2020. </w:t>
      </w:r>
      <w:r w:rsidRPr="004443A9">
        <w:t xml:space="preserve">Evidence for auxiliary anaerobic metabolism in obligately aerobic </w:t>
      </w:r>
      <w:r w:rsidRPr="004443A9">
        <w:rPr>
          <w:i/>
        </w:rPr>
        <w:t>Zetaproteobacteria</w:t>
      </w:r>
      <w:r w:rsidRPr="004443A9">
        <w:t>. The ISME Journal 14, 1057-1062.</w:t>
      </w:r>
    </w:p>
    <w:p w:rsidR="00DB42FE" w:rsidRPr="004443A9" w:rsidRDefault="00DB42FE" w:rsidP="00616347">
      <w:pPr>
        <w:pStyle w:val="EndNoteBibliography"/>
        <w:ind w:left="360"/>
      </w:pPr>
      <w:r w:rsidRPr="004443A9">
        <w:t>https://doi.org/10.1038/s41396-020-0586-6</w:t>
      </w:r>
    </w:p>
    <w:p w:rsidR="00DB42FE" w:rsidRPr="004443A9" w:rsidRDefault="00DB42FE" w:rsidP="00616347">
      <w:pPr>
        <w:pStyle w:val="EndNoteBibliography"/>
        <w:spacing w:after="0"/>
        <w:ind w:left="360"/>
      </w:pPr>
      <w:r w:rsidRPr="004443A9">
        <w:rPr>
          <w:i/>
        </w:rPr>
        <w:lastRenderedPageBreak/>
        <w:t>Zetaproteobacteria</w:t>
      </w:r>
      <w:r w:rsidRPr="004443A9">
        <w:t xml:space="preserve"> are obligate chemolithoautotrophs that oxidize Fe(II) as an electron and energy source, and play significant roles in nutrient cycling and primary production in the marine biosphere. </w:t>
      </w:r>
      <w:r w:rsidRPr="004443A9">
        <w:rPr>
          <w:i/>
        </w:rPr>
        <w:t>Zetaproteobacteria</w:t>
      </w:r>
      <w:r w:rsidRPr="004443A9">
        <w:t xml:space="preserve"> thrive under microoxic conditions near oxic–anoxic interfaces, where they catalyze Fe(II) oxidation faster than the abiotic reaction with oxygen. Neutrophilic Fe(II) oxidizing bacteria produce copious amounts of insoluble iron oxyhydroxides as a by-product of their metabolism. Oxygen consumption by aerobic respiration and formation of iron oxyhydroxides at oxic–anoxic interfaces can result in periods of oxygen limitation for bacterial cells. Under laboratory conditions, all </w:t>
      </w:r>
      <w:r w:rsidRPr="004443A9">
        <w:rPr>
          <w:i/>
        </w:rPr>
        <w:t>Zetaproteobacteria</w:t>
      </w:r>
      <w:r w:rsidRPr="004443A9">
        <w:t xml:space="preserve"> isolates have been shown to strictly require oxygen as an electron acceptor for growth, and anaerobic metabolism has not been observed. However, genomic analyses indicate a range of potential anaerobic pathways present in </w:t>
      </w:r>
      <w:r w:rsidRPr="004443A9">
        <w:rPr>
          <w:i/>
        </w:rPr>
        <w:t>Zetaproteobacteria</w:t>
      </w:r>
      <w:r w:rsidRPr="004443A9">
        <w:t xml:space="preserve">. Heterologous expression of proteins from </w:t>
      </w:r>
      <w:r w:rsidRPr="004443A9">
        <w:rPr>
          <w:i/>
        </w:rPr>
        <w:t>Mariprofundus ferrooxydans</w:t>
      </w:r>
      <w:r w:rsidRPr="004443A9">
        <w:t xml:space="preserve"> PV-1, including pyruvate formate lyase and acetate kinase, further support a capacity for anaerobic metabolism. Here we define auxiliary anaerobic metabolism as a mechanism to provide maintenance energy to cells and suggest that it provides a survival advantage to </w:t>
      </w:r>
      <w:r w:rsidRPr="004443A9">
        <w:rPr>
          <w:i/>
        </w:rPr>
        <w:t>Zetaproteobacteria</w:t>
      </w:r>
      <w:r w:rsidRPr="004443A9">
        <w:t xml:space="preserve"> in environments with fluctuating oxygen availability.</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Jenny, J.-P., Koirala, S., Gregory-Eaves, I., Francus, P., Ahrens, B., Brovkin, V., Ojala, A.E.K., Zolitschka, B., Bader, J., Carvalhais, N., </w:t>
      </w:r>
      <w:r w:rsidR="00616347">
        <w:t xml:space="preserve">2020. </w:t>
      </w:r>
      <w:r w:rsidRPr="004443A9">
        <w:t>Reply to Li et al.: Human societies began to play a significant role in global sediment transfer 4,000 years ago. Proceedings of the National Academy of Sciences 117, 5571.</w:t>
      </w:r>
    </w:p>
    <w:p w:rsidR="00DB42FE" w:rsidRPr="004443A9" w:rsidRDefault="00DB42FE" w:rsidP="00616347">
      <w:pPr>
        <w:pStyle w:val="EndNoteBibliography"/>
        <w:ind w:left="360"/>
      </w:pPr>
      <w:r w:rsidRPr="004443A9">
        <w:t>http://www.pnas.org/content/117/11/5571.abstract</w:t>
      </w:r>
    </w:p>
    <w:p w:rsidR="00DB42FE" w:rsidRPr="004443A9" w:rsidRDefault="00DB42FE" w:rsidP="00616347">
      <w:pPr>
        <w:pStyle w:val="EndNoteBibliography"/>
        <w:ind w:left="360"/>
      </w:pPr>
      <w:r w:rsidRPr="004443A9">
        <w:t xml:space="preserve">In a recent study (1), we conducted a global synthesis of long-term records of reconstructed sediment accumulation rates (SARs) in lakes and diagnosed that a dominant anthropogenic imprint on soil erosion rates started </w:t>
      </w:r>
      <w:r w:rsidRPr="004443A9">
        <w:rPr>
          <w:rFonts w:ascii="Cambria Math" w:hAnsi="Cambria Math" w:cs="Cambria Math"/>
        </w:rPr>
        <w:t>∼</w:t>
      </w:r>
      <w:r w:rsidRPr="004443A9">
        <w:t>4,000 y ago. Our approach was based on the assumption that lake SARs are watershed integrators of terrestrial biogeochemical responses to atmospheric (climate) and land surface dynamics spanning several millennia (2–4). Our statistical analysis was based on SAR reconstructions for the last 12,000 y (1), global pollen records spanning the same period to infer past vegetation changes (5), and model-based climate reconstructions from transient Holocene simulation with …</w:t>
      </w:r>
    </w:p>
    <w:p w:rsidR="00DB42FE" w:rsidRPr="004443A9" w:rsidRDefault="00DB42FE" w:rsidP="00616347">
      <w:pPr>
        <w:pStyle w:val="EndNoteBibliography"/>
        <w:ind w:left="360" w:hanging="360"/>
      </w:pPr>
      <w:r w:rsidRPr="004443A9">
        <w:t xml:space="preserve">Comment by: Li, Y., Tian, Y., Guo, H., Wei, S., Cao, J., Huang, C., Shi, F., Rao, Z., </w:t>
      </w:r>
      <w:r w:rsidR="00616347">
        <w:t xml:space="preserve">2020. </w:t>
      </w:r>
      <w:r w:rsidRPr="004443A9">
        <w:t>Complex “human−vegetion−climate” interactions in the Late Holocene and their significance for paleotemperature reconstructions. Proceedings of the National Academy of Sciences 117, 5568.</w:t>
      </w:r>
    </w:p>
    <w:p w:rsidR="00DB42FE" w:rsidRPr="004443A9" w:rsidRDefault="00DB42FE" w:rsidP="00616347">
      <w:pPr>
        <w:pStyle w:val="EndNoteBibliography"/>
        <w:spacing w:after="0"/>
        <w:ind w:left="360"/>
      </w:pPr>
      <w:r w:rsidRPr="004443A9">
        <w:t>Original article Jenny, J.-P., Koirala, S., Gregory-Eaves, I., Francus, P., Niemann, C., Ahrens, B., Brovkin, V., Baud, A., Ojala, A.E.K., Normandeau, A., Zolitschka, B., Carvalhais, N., 2019. Human and climate global-scale imprint on sediment transfer during the Holocene. Proceedings of the National Academy of Sciences 116, 22972-22976</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Ji, Y., Hou, J., Zhao, E., Lu, N., Bai, Y., Zhou, K., Liu, Y., </w:t>
      </w:r>
      <w:r w:rsidR="00616347">
        <w:t xml:space="preserve">2020. </w:t>
      </w:r>
      <w:r w:rsidRPr="004443A9">
        <w:t>Study on the effects of heterogeneous distribution of methane hydrate on permeability of porous media using low-field NMR technique. Journal of Geophysical Research: Solid Earth 125, e2019JB018572.</w:t>
      </w:r>
    </w:p>
    <w:p w:rsidR="00DB42FE" w:rsidRPr="004443A9" w:rsidRDefault="00DB42FE" w:rsidP="00616347">
      <w:pPr>
        <w:pStyle w:val="EndNoteBibliography"/>
        <w:ind w:left="360"/>
      </w:pPr>
      <w:r w:rsidRPr="004443A9">
        <w:t>https://doi.org/10.1029/2019JB018572</w:t>
      </w:r>
    </w:p>
    <w:p w:rsidR="00DB42FE" w:rsidRPr="004443A9" w:rsidRDefault="00DB42FE" w:rsidP="00616347">
      <w:pPr>
        <w:pStyle w:val="EndNoteBibliography"/>
        <w:spacing w:after="0"/>
        <w:ind w:left="360"/>
      </w:pPr>
      <w:r w:rsidRPr="004443A9">
        <w:lastRenderedPageBreak/>
        <w:t xml:space="preserve">The permeability of sediments is an important parameter that effects flow characteristics of the gas and water in the process of natural gas hydrates development. The distribution of gas hydrate is generally heterogeneous in porous media. It poses a great challenge to the permeability measurement of hydrate‐bearing sediments. To study the effect of heterogeneous distribution of methane hydrate on the permeability of porous media, methane hydrate formation in the sandstone and permeability measurement was carried out using a low‐field nuclear magnetic resonance (NMR) measurement system in situ conditions. The spatial distribution of methane hydrate in the core samples was determined by combining the </w:t>
      </w:r>
      <w:r w:rsidRPr="004443A9">
        <w:rPr>
          <w:i/>
        </w:rPr>
        <w:t>T</w:t>
      </w:r>
      <w:r w:rsidRPr="004443A9">
        <w:rPr>
          <w:vertAlign w:val="subscript"/>
        </w:rPr>
        <w:t>2</w:t>
      </w:r>
      <w:r w:rsidRPr="004443A9">
        <w:t xml:space="preserve"> distribution with magnetic resonance imaging. The results show that the distribution of methane hydrate is heterogeneous in the core samples. The temporal and spatial variation of permeability happens in the process of hydrate dissociation. The heterogeneity of methane hydrate distribution severely affects the analysis of permeability change. Considering the heterogeneity of methane hydrate distribution, a new method was proposed to obtain the quantitative relationship between hydrate saturation and relative permeability based on magnetic resonance imaging and the equivalent seepage capacity method. The results show that the relative permeability models obtained by this method agree better with experimental results. The optimum coefficients of relative permeability models obtained by equivalent seepage capacity method change significantly in contrast with the direct fitting method. The variation of the optimum coefficient is up to 300% in this study. The model coefficients are related to the pore characteristic of hydrate‐free porous media.</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Jia, B., Tsau, J.-S., Barati, R., </w:t>
      </w:r>
      <w:r w:rsidR="00616347">
        <w:t xml:space="preserve">2020. </w:t>
      </w:r>
      <w:r w:rsidRPr="004443A9">
        <w:t>Investigation of shale-gas-production behavior: Evaluation of the effects of multiple physics on the matrix. SPE Reservoir Evaluation &amp; Engineering 23, 68-80.</w:t>
      </w:r>
    </w:p>
    <w:p w:rsidR="00DB42FE" w:rsidRPr="004443A9" w:rsidRDefault="00DB42FE" w:rsidP="00616347">
      <w:pPr>
        <w:pStyle w:val="EndNoteBibliography"/>
        <w:ind w:left="360"/>
      </w:pPr>
      <w:r w:rsidRPr="004443A9">
        <w:t>https://doi.org/10.2118/197069-PA</w:t>
      </w:r>
    </w:p>
    <w:p w:rsidR="00DB42FE" w:rsidRPr="004443A9" w:rsidRDefault="00DB42FE" w:rsidP="00616347">
      <w:pPr>
        <w:pStyle w:val="EndNoteBibliography"/>
        <w:spacing w:after="0"/>
        <w:ind w:left="360"/>
      </w:pPr>
      <w:r w:rsidRPr="004443A9">
        <w:t>Shale gas is a major component of natural-gas supply in the United States. Multistage-fractured horizontal wells significantly improve the production performance of ultralow-permeability shale-gas reservoirs. Researchers have believed that shale-gas-production simulations should take into account the complex-flow behaviors in both fractures and the matrix. However, multiple physics applied on the matrix are generally incomplete in previous studies. In this study, we considered the comprehensive physics that occurred in the matrix including the effective stress, slip flow/pore diffusion, adsorption/desorption, and surface diffusion, as well as the dynamic properties of fractures. We investigated the importance of these features of the physics separately and in an integrated fashion by step-by-step production simulations. Afterward, comprehensive sensitivity analysis was performed with regard to stress dependency of the matrix and fractures. This work shows that natural-fracture spacing is the most prominent factor affecting shale-gas-reservoir performance. The work highlights the importance to gas recovery of mechanical squeezing of the pore volume by the effective stress. Surface diffusion might be essential for gas recovery that depends on surface-diffusivity values. Slip flow and pore diffusion do not significantly contribute to gas recovery even though they increase gas apparent permeability under low pressures.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Jiang, L., Wu, C., Li, M., Li, X., Li, J., </w:t>
      </w:r>
      <w:r w:rsidR="00616347">
        <w:t xml:space="preserve">2020. </w:t>
      </w:r>
      <w:r w:rsidRPr="004443A9">
        <w:t>Interpretation of kinetic isotope fractionation between aqueous Fe(II) and ferrihydrite under a high degree of microbial reduction. Biogeosciences Discussions 2020, 1-18.</w:t>
      </w:r>
    </w:p>
    <w:p w:rsidR="00DB42FE" w:rsidRPr="004443A9" w:rsidRDefault="00DB42FE" w:rsidP="00616347">
      <w:pPr>
        <w:pStyle w:val="EndNoteBibliography"/>
        <w:ind w:left="360"/>
      </w:pPr>
      <w:r w:rsidRPr="004443A9">
        <w:t>https://www.biogeosciences-discuss.net/bg-2020-85/</w:t>
      </w:r>
    </w:p>
    <w:p w:rsidR="00DB42FE" w:rsidRPr="004443A9" w:rsidRDefault="00DB42FE" w:rsidP="00616347">
      <w:pPr>
        <w:pStyle w:val="EndNoteBibliography"/>
        <w:spacing w:after="0"/>
        <w:ind w:left="360"/>
      </w:pPr>
      <w:r w:rsidRPr="004443A9">
        <w:lastRenderedPageBreak/>
        <w:t xml:space="preserve">Microbial dissimilatory iron reduction (DIR) often ceases when the degree of iron mineral reduction is low, at which point isotope fractionation occurs between an aqueous Fe(II) solution and a reactive Fe(III) phase on the surface of ferric (oxyhydro) oxides, forming an equilibrium fractionation factor (~ 3 ‰). Recent experimental abiotic studies suggest that Fe(II) adsorption onto the mineral surface may affect the isotope fractionation, which reminds us that the isotope exchange may be greatly inhibited during the DIR process. In this study, ferrihydrite is used as a terminal electron acceptor to conduct </w:t>
      </w:r>
      <w:r w:rsidRPr="004443A9">
        <w:rPr>
          <w:i/>
        </w:rPr>
        <w:t>Shewanella piezotolerans</w:t>
      </w:r>
      <w:r w:rsidRPr="004443A9">
        <w:t xml:space="preserve"> WP3 and </w:t>
      </w:r>
      <w:r w:rsidRPr="004443A9">
        <w:rPr>
          <w:i/>
        </w:rPr>
        <w:t>Shewanella oneidensis</w:t>
      </w:r>
      <w:r w:rsidRPr="004443A9">
        <w:t xml:space="preserve"> MR-1 experiments at 0.1 and 15 MPa to ensure a significant variation in the degree of reduction. During the 30-day experiment, the degree of ferrihydrite reduction by </w:t>
      </w:r>
      <w:r w:rsidRPr="004443A9">
        <w:rPr>
          <w:i/>
        </w:rPr>
        <w:t>S. piezotolerans</w:t>
      </w:r>
      <w:r w:rsidRPr="004443A9">
        <w:t xml:space="preserve"> WP3 is 14 % (at 0.1 MPa) and 8 % (at 15 MPa), whereas the degree of ferrihydrite reduction by </w:t>
      </w:r>
      <w:r w:rsidRPr="004443A9">
        <w:rPr>
          <w:i/>
        </w:rPr>
        <w:t>S. oneidensis</w:t>
      </w:r>
      <w:r w:rsidRPr="004443A9">
        <w:t xml:space="preserve"> MR-1 is 39 % (at 0.1 MPa) and 36 % (at 15 MPa). Based on the isotope mass balance, the estimated ranges of iron isotope fractionation for </w:t>
      </w:r>
      <w:r w:rsidRPr="004443A9">
        <w:rPr>
          <w:i/>
        </w:rPr>
        <w:t>S. piezotolerans</w:t>
      </w:r>
      <w:r w:rsidRPr="004443A9">
        <w:t xml:space="preserve"> WP3 and S. oneidensis MR-1 are obtained. The former ranges between −3.58 ‰ and −0.88 ‰ (at 0.1 MPa) and between −2.37 ‰ and −0.66 ‰ (at 15 MPa), and the latter ranges between −0.39 ‰ and 0.10 ‰ (at 0.1 MPa) and between −0.6 ‰ and −0.16 ‰ (at 15 MPa). However, it is difficult to distinguish variations in the same bacteria at 0.1 and 15 MPa due to the large estimation ranges of isotope fractionation. In the </w:t>
      </w:r>
      <w:r w:rsidRPr="004443A9">
        <w:rPr>
          <w:i/>
        </w:rPr>
        <w:t>S. oneidensis</w:t>
      </w:r>
      <w:r w:rsidRPr="004443A9">
        <w:t xml:space="preserve"> MR-1 experiment, the fractionation factor obtained is significantly different from that obtained in the </w:t>
      </w:r>
      <w:r w:rsidRPr="004443A9">
        <w:rPr>
          <w:i/>
        </w:rPr>
        <w:t>S. piezotolerans</w:t>
      </w:r>
      <w:r w:rsidRPr="004443A9">
        <w:t xml:space="preserve"> WP3 experiment, indicating that kinetic fractionation occurred. In combination with previous studies, we propose a transient modified Fe(II) adsorption mechanism to explain the isotope fractionation between aqueous Fe(II) and ferrihydrite. When the adsorbed Fe(II) exceeds the surface saturation, the atom (isotope) exchange will be suppressed.</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Jiang, W., Imin, A., Wang, X., Wang, T., Guo, W., </w:t>
      </w:r>
      <w:r w:rsidR="00616347">
        <w:t xml:space="preserve">2020. </w:t>
      </w:r>
      <w:r w:rsidRPr="004443A9">
        <w:t>Geochemical characterization and quantitative identification of mixed-source oils from the Baikouquan and Lower Wuerhe Formations in the eastern slope of the Mahu Sag, Junggar Basin, NW China. Journal of Petroleum Science and Engineering 191, 107175.</w:t>
      </w:r>
    </w:p>
    <w:p w:rsidR="00DB42FE" w:rsidRPr="004443A9" w:rsidRDefault="00DB42FE" w:rsidP="00616347">
      <w:pPr>
        <w:pStyle w:val="EndNoteBibliography"/>
        <w:ind w:left="360"/>
      </w:pPr>
      <w:r w:rsidRPr="004443A9">
        <w:t>http://www.sciencedirect.com/science/article/pii/S092041052030262X</w:t>
      </w:r>
    </w:p>
    <w:p w:rsidR="00DB42FE" w:rsidRPr="004443A9" w:rsidRDefault="00DB42FE" w:rsidP="00616347">
      <w:pPr>
        <w:pStyle w:val="EndNoteBibliography"/>
        <w:spacing w:after="0"/>
        <w:ind w:left="360"/>
      </w:pPr>
      <w:r w:rsidRPr="004443A9">
        <w:t>The quantitative identification of mixed-source oil is a popular yet difficult topic in current petroleum geochemistry research. The mixed-source oils of the Baikouquan and Lower Wuerhe formations in the eastern slope of the Mahu Sag of Junggar Basin were used as a typical example in this study. Quantitative research on mixed oils was carried out in the study area and good results were obtained using an approach combining organic geochemistry and chemometrics. The results of crude oil geochemistry research show that mixed-source crude oil is ubiquitous in the study area. After comprehensive analysis, it is likely that there are three endmembers in the current mixed-source oils. Two of the endmembers may represent mainly the contribution of the early and late source rocks of the Permian Fengcheng Formation and are dominated by late filled crude oil. However, the third endmember is quite different. Its hydrocarbons may have come from the source rocks of the Permian Lower Wuerhe Formation or the source rocks of the Fengcheng Formation under different lithofacies and sedimentary environments. The study area is dominated by hydrocarbons that accumulated from the Fengcheng Formation. Although the proportion of hydrocarbons generated in the late stage is not high, it plays a very important role in hydrocarbon migration and accumulation. This comprehensive comparative study shows that the chemometric method can play an important role in calculating the proportion of mixed-source oil and in endmember analysis.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lastRenderedPageBreak/>
        <w:t xml:space="preserve">Jiang, X.D., Zhao, X., Chou, Y.M., Liu, Q.S., Roberts, A.P., Ren, J.B., Sun, X.M., Li, J.H., Tang, X., Zhao, X.Y., Wang, C.C., </w:t>
      </w:r>
      <w:r w:rsidR="00616347">
        <w:t xml:space="preserve">2020. </w:t>
      </w:r>
      <w:r w:rsidRPr="004443A9">
        <w:t>Characterization and quantification of magnetofossils within abyssal manganese nodules from the western Pacific Ocean and implications for nodule formation. Geochemistry, Geophysics, Geosystems 21, e2019GC008811.</w:t>
      </w:r>
    </w:p>
    <w:p w:rsidR="00DB42FE" w:rsidRPr="004443A9" w:rsidRDefault="00DB42FE" w:rsidP="00616347">
      <w:pPr>
        <w:pStyle w:val="EndNoteBibliography"/>
        <w:ind w:left="360"/>
      </w:pPr>
      <w:r w:rsidRPr="004443A9">
        <w:t>https://doi.org/10.1029/2019GC008811</w:t>
      </w:r>
    </w:p>
    <w:p w:rsidR="00DB42FE" w:rsidRPr="004443A9" w:rsidRDefault="00DB42FE" w:rsidP="00616347">
      <w:pPr>
        <w:pStyle w:val="EndNoteBibliography"/>
        <w:spacing w:after="0"/>
        <w:ind w:left="360"/>
      </w:pPr>
      <w:r w:rsidRPr="004443A9">
        <w:t>Abyssal manganese nodules have been explored widely for their economic potential and paleoenvironmental significance. Debate about whether biogenic or physical-chemical processes are responsible for their formation remains because of difficulties in quantifying ancient microbiological contributions. To address this question, we investigated microbial fossils in manganese nodules from the western Pacific Ocean by integrating scanning electron microscope, transmission electron microscope, and synchrotron transmission X-ray microscope observations. Our results suggest that the nodules host abundant fossil biogenic magnetite and manganese-oxidizing bacteria. These organisms engage in redox reactions or live in environments with redox gradients. By combining magnetic properties and observations of fossil biogenic magnetite morphology, we estimate magnetofossil abundances and further assess fossil biogenic manganese oxide in nodules. Our results imply that manganese nodule formation appears to be dominated by biomineralization with an additional terrestrial contribution. Extensive biomineralization in ultralow-productivity oceanic environments suggests that manganese nodule formation is an important aspect of biogeochemical cycling in abyssal seafloor environments.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Jiménez-Brobeil, S.A., Maroto, R.M., Laffranchi, Z., Roca, M.G., Granados Torres, A., Delgado Huertas, A., </w:t>
      </w:r>
      <w:r w:rsidR="00616347">
        <w:t xml:space="preserve">2020. </w:t>
      </w:r>
      <w:r w:rsidRPr="004443A9">
        <w:t>Exploring diet in an isolated medieval rural community of Northern Iberia: The case study of San Baudelio de Berlanga (Soria, Spain). Journal of Archaeological Science: Reports 30, 102218.</w:t>
      </w:r>
    </w:p>
    <w:p w:rsidR="00DB42FE" w:rsidRPr="004443A9" w:rsidRDefault="00DB42FE" w:rsidP="00616347">
      <w:pPr>
        <w:pStyle w:val="EndNoteBibliography"/>
        <w:ind w:left="360"/>
      </w:pPr>
      <w:r w:rsidRPr="004443A9">
        <w:t>http://www.sciencedirect.com/science/article/pii/S2352409X19302846</w:t>
      </w:r>
    </w:p>
    <w:p w:rsidR="00DB42FE" w:rsidRPr="004443A9" w:rsidRDefault="00DB42FE" w:rsidP="00616347">
      <w:pPr>
        <w:pStyle w:val="EndNoteBibliography"/>
        <w:spacing w:after="0"/>
        <w:ind w:left="360"/>
      </w:pPr>
      <w:r w:rsidRPr="004443A9">
        <w:t>A medieval osteological sample (n = 20) from the isolated rural community of San Baudelio de Berlanga (Soria, N-Spain) was studied using paleopathological and stable isotope analyses. The necropolis was initially dated by archeologists between the XI and XII centuries AD and contains 57 individuals. The main objective of this study was to investigate the diet and the chronology of these individuals to improve the understanding not only of the diet but also of the population dynamics in an isolated rural site. The isotopic composition of their rib bone collagen was determined. δ</w:t>
      </w:r>
      <w:r w:rsidRPr="004443A9">
        <w:rPr>
          <w:vertAlign w:val="superscript"/>
        </w:rPr>
        <w:t>15</w:t>
      </w:r>
      <w:r w:rsidRPr="004443A9">
        <w:t>N values ranged between 9.3‰ and 11.5‰, with a mean of 10.3 + 0.5‰ (AIR), while δ</w:t>
      </w:r>
      <w:r w:rsidRPr="004443A9">
        <w:rPr>
          <w:vertAlign w:val="superscript"/>
        </w:rPr>
        <w:t>13</w:t>
      </w:r>
      <w:r w:rsidRPr="004443A9">
        <w:t>C values ranged between −17.6‰ and −19.0‰ with a mean of −18.2 + 0.4‰ (V-PDB). Radiocarbon results dated the individuals to between the XI and mid-XIII century. The stable isotopic results suggest a mixed terrestrial diet dominated by C</w:t>
      </w:r>
      <w:r w:rsidRPr="004443A9">
        <w:rPr>
          <w:vertAlign w:val="subscript"/>
        </w:rPr>
        <w:t>3</w:t>
      </w:r>
      <w:r w:rsidRPr="004443A9">
        <w:t xml:space="preserve"> cereals but including also animal products (e.g. meat and dairy products). Isotopic differences between sexes may be related more closely to social (patrilineal pattern of pairing) and biodemographical (lower female life expectancy) factors than dietary gender differences.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Jimoh, A.Y., Ojo, O.J., Akande, S.O., </w:t>
      </w:r>
      <w:r w:rsidR="00616347">
        <w:t xml:space="preserve">2020. </w:t>
      </w:r>
      <w:r w:rsidRPr="004443A9">
        <w:t>Organic petrography, Rock–Eval pyrolysis and biomarker geochemistry of Maastrichtian Gombe Formation, Gongola Basin, Nigeria. Journal of Petroleum Exploration and Production Technology 10, 327-350.</w:t>
      </w:r>
    </w:p>
    <w:p w:rsidR="00DB42FE" w:rsidRPr="004443A9" w:rsidRDefault="00DB42FE" w:rsidP="00616347">
      <w:pPr>
        <w:pStyle w:val="EndNoteBibliography"/>
        <w:ind w:left="360"/>
      </w:pPr>
      <w:r w:rsidRPr="004443A9">
        <w:t>https://doi.org/10.1007/s13202-019-00770-x</w:t>
      </w:r>
    </w:p>
    <w:p w:rsidR="00DB42FE" w:rsidRPr="004443A9" w:rsidRDefault="00DB42FE" w:rsidP="00616347">
      <w:pPr>
        <w:pStyle w:val="EndNoteBibliography"/>
        <w:spacing w:after="0"/>
        <w:ind w:left="360"/>
      </w:pPr>
      <w:r w:rsidRPr="004443A9">
        <w:lastRenderedPageBreak/>
        <w:t xml:space="preserve">The Maastrichtian Gombe Formation is located within one of the inland basins of Nigeria (Gongola Basin). Surface and borehole samples of coal and interbedded shale of this formation were evaluated to determine the organic matter richness, quality, maturity, source and depositional environment through organic geochemical techniques such as total organic carbon (TOC) determination, Rock–Eval pyrolysis, chromatography and organic petrography. The genetic potential and average TOC value of the coals, shales and coaly shales are 38.03 wt%, 3.14 wt% and 12.1 wt%, respectively, indicating moderate-to-good source potential. HIs are less than 200 mgHC/gTOC for all the samples indicating Type III kerogen for most of the samples (gas prone) and plant contributions from terrestrial sources. The source rocks were characterized by high molecular weight </w:t>
      </w:r>
      <w:r w:rsidRPr="004443A9">
        <w:rPr>
          <w:i/>
        </w:rPr>
        <w:t>n</w:t>
      </w:r>
      <w:r w:rsidRPr="004443A9">
        <w:t>-alkanes which range from C</w:t>
      </w:r>
      <w:r w:rsidRPr="004443A9">
        <w:rPr>
          <w:vertAlign w:val="subscript"/>
        </w:rPr>
        <w:t>10</w:t>
      </w:r>
      <w:r w:rsidRPr="004443A9">
        <w:t>–C</w:t>
      </w:r>
      <w:r w:rsidRPr="004443A9">
        <w:rPr>
          <w:vertAlign w:val="subscript"/>
        </w:rPr>
        <w:t>41</w:t>
      </w:r>
      <w:r w:rsidRPr="004443A9">
        <w:t xml:space="preserve"> in the coals and C</w:t>
      </w:r>
      <w:r w:rsidRPr="004443A9">
        <w:rPr>
          <w:vertAlign w:val="subscript"/>
        </w:rPr>
        <w:t>9</w:t>
      </w:r>
      <w:r w:rsidRPr="004443A9">
        <w:t>–C</w:t>
      </w:r>
      <w:r w:rsidRPr="004443A9">
        <w:rPr>
          <w:vertAlign w:val="subscript"/>
        </w:rPr>
        <w:t>41</w:t>
      </w:r>
      <w:r w:rsidRPr="004443A9">
        <w:t xml:space="preserve"> in the shales. The </w:t>
      </w:r>
      <w:r w:rsidRPr="004443A9">
        <w:rPr>
          <w:i/>
        </w:rPr>
        <w:t>n</w:t>
      </w:r>
      <w:r w:rsidRPr="004443A9">
        <w:t>-alkanes distributions in the coals maximize at C</w:t>
      </w:r>
      <w:r w:rsidRPr="004443A9">
        <w:rPr>
          <w:vertAlign w:val="subscript"/>
        </w:rPr>
        <w:t>29</w:t>
      </w:r>
      <w:r w:rsidRPr="004443A9">
        <w:t xml:space="preserve"> indicating terrestrial sourced organic matter, while the shales maximize at C</w:t>
      </w:r>
      <w:r w:rsidRPr="004443A9">
        <w:rPr>
          <w:vertAlign w:val="subscript"/>
        </w:rPr>
        <w:t>16</w:t>
      </w:r>
      <w:r w:rsidRPr="004443A9">
        <w:t xml:space="preserve"> and C</w:t>
      </w:r>
      <w:r w:rsidRPr="004443A9">
        <w:rPr>
          <w:vertAlign w:val="subscript"/>
        </w:rPr>
        <w:t>29</w:t>
      </w:r>
      <w:r w:rsidRPr="004443A9">
        <w:t xml:space="preserve"> indicating mixed sources. Pr/Ph of the coals and shales ranges from (2.15–3.51) to (0.95–2.37), respectively, suggesting fluvio-deltaic deltaic and coastal swamp depositional environments. The predominance of pristane over phytane suggests humic origin of the organic matter. The sterane/hopane values (&lt; 0.6) indicate incorporation of bacterial inputs commonly associated with terrigenous organic matter in the coals. The CPI is greater than unity, </w:t>
      </w:r>
      <w:r w:rsidRPr="004443A9">
        <w:rPr>
          <w:i/>
        </w:rPr>
        <w:t>T</w:t>
      </w:r>
      <w:r w:rsidRPr="004443A9">
        <w:rPr>
          <w:vertAlign w:val="subscript"/>
        </w:rPr>
        <w:t>max</w:t>
      </w:r>
      <w:r w:rsidRPr="004443A9">
        <w:t xml:space="preserve"> is generally &lt; 435 °C and vitrinite reflectance less than 0.55 Ro for most of the samples and suggest the samples are of low maturity status to expel liquid hydrocarbon.</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Jin, J., Wang, X., Guo, Y., Li, J., Li, Y., Zhang, X., Qian, J., Sun, L., </w:t>
      </w:r>
      <w:r w:rsidR="00616347">
        <w:t xml:space="preserve">2020. </w:t>
      </w:r>
      <w:r w:rsidRPr="004443A9">
        <w:t>Geological controls on the occurrence of recently formed highly concentrated gas hydrate accumulations in the Shenhu area, South China Sea. Marine and Petroleum Geology 116, 104294.</w:t>
      </w:r>
    </w:p>
    <w:p w:rsidR="00DB42FE" w:rsidRPr="004443A9" w:rsidRDefault="00DB42FE" w:rsidP="00616347">
      <w:pPr>
        <w:pStyle w:val="EndNoteBibliography"/>
        <w:ind w:left="360"/>
      </w:pPr>
      <w:r w:rsidRPr="004443A9">
        <w:t>http://www.sciencedirect.com/science/article/pii/S0264817220300775</w:t>
      </w:r>
    </w:p>
    <w:p w:rsidR="00DB42FE" w:rsidRPr="004443A9" w:rsidRDefault="00DB42FE" w:rsidP="00616347">
      <w:pPr>
        <w:pStyle w:val="EndNoteBibliography"/>
        <w:spacing w:after="0"/>
        <w:ind w:left="360"/>
      </w:pPr>
      <w:r w:rsidRPr="004443A9">
        <w:t>The Shenhu area is an important gas hydrate exploration and production test zone in the northern slope of South China Sea. A sediment layer with high gas hydrate saturations and abnormally high pore-water chlorinity concentrations has been identified from recently acquired logging-while-drilling (LWD) data and core samples. Data from four sites (W19, W18, SC-01 and SC-02) indicates that most gas hydrate-bearing sediments (GHBSs) form preferentially in low gamma ray log inferred coarser-grained units, except at SC-02. At this site, a striking increase in pore-water chlorinity values, with a maximum value exceeding 816 mM at a depth of 158 mbsf, indicates an active or recently-active system. A one-dimensional (1D) diffusion model is used to estimate the time when the gas hydrate formed based on the saturation, thickness, and porosity of gas hydrate-bearing units at each site. The results show that gas hydrates at sites SC-02 and W18 respectively formed 19–29 thousand and 26–28 thousand years ago (assuming a closed system). To further investigate the apparently young age of these highly saturated gas hydrate accumulations, three-dimensional (3D) seismic variance and frequency attributes extracted along different sedimentary layers are shown to provide evidence for vertical and lateral gas migration along normal faults and gas chimneys. The high pore-water chlorinities and evidence for fluid migration from deeper sedimentary sections suggest that upward migration of methane gas into the hydrate stability zone may have contributed to the recent formation of the highly concentrated gas hydrate occurrences identified in the Shenhu area.</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Jin, S., Deng, H., Zhu, X., Liu, Y., Liu, S., Fu, M., </w:t>
      </w:r>
      <w:r w:rsidR="00616347">
        <w:t xml:space="preserve">2020. </w:t>
      </w:r>
      <w:r w:rsidRPr="004443A9">
        <w:t>Orbital control on cyclical organic matter accumulation in Early Silurian Longmaxi Formation shales. Geoscience Frontiers 11, 533-545.</w:t>
      </w:r>
    </w:p>
    <w:p w:rsidR="00DB42FE" w:rsidRPr="004443A9" w:rsidRDefault="00DB42FE" w:rsidP="00616347">
      <w:pPr>
        <w:pStyle w:val="EndNoteBibliography"/>
        <w:ind w:left="360"/>
      </w:pPr>
      <w:r w:rsidRPr="004443A9">
        <w:lastRenderedPageBreak/>
        <w:t>http://www.sciencedirect.com/science/article/pii/S1674987119301197</w:t>
      </w:r>
    </w:p>
    <w:p w:rsidR="00DB42FE" w:rsidRPr="004443A9" w:rsidRDefault="00DB42FE" w:rsidP="00616347">
      <w:pPr>
        <w:pStyle w:val="EndNoteBibliography"/>
        <w:spacing w:after="0"/>
        <w:ind w:left="360"/>
      </w:pPr>
      <w:r w:rsidRPr="004443A9">
        <w:t xml:space="preserve">High resolution (939 samples) total organic carbon content (TOC) analyses were conducted on the Shuanghe Section of </w:t>
      </w:r>
      <w:r w:rsidRPr="004443A9">
        <w:rPr>
          <w:rFonts w:ascii="Cambria Math" w:hAnsi="Cambria Math" w:cs="Cambria Math"/>
        </w:rPr>
        <w:t>∼</w:t>
      </w:r>
      <w:r w:rsidRPr="004443A9">
        <w:t>152.6</w:t>
      </w:r>
      <w:r w:rsidRPr="004443A9">
        <w:rPr>
          <w:rFonts w:cs="Calibri"/>
        </w:rPr>
        <w:t> ​</w:t>
      </w:r>
      <w:r w:rsidRPr="004443A9">
        <w:t>m in the Changning area, Sichuan Basin. The sampling section was divided into two units considering the distinct-different deposit environment and sediments accumulation rate. The lower part (Unit 1) and the peer part (Unit 2) with high resolution sample spacing (0.08–0.4 ​m) enables the identification of the precession cycle in two sedimentary sequences with distinct different sedimentary accumulation rate. MTM Power spectral analyses on untuned TOC series reveals significant peaks exceeding above the 95% confidence level and shows that both Unit 1 and Unit 2 have recorded Milankovitch cycles of 405 kyr long eccentricity, short eccentricity, obliquity and precession. The floating astronomical time scale (ATS) was constructed on the Shuanghe Section in the Early Silurian (</w:t>
      </w:r>
      <w:r w:rsidRPr="004443A9">
        <w:rPr>
          <w:rFonts w:ascii="Cambria Math" w:hAnsi="Cambria Math" w:cs="Cambria Math"/>
        </w:rPr>
        <w:t>∼</w:t>
      </w:r>
      <w:r w:rsidRPr="004443A9">
        <w:t>439.673</w:t>
      </w:r>
      <w:r w:rsidRPr="004443A9">
        <w:rPr>
          <w:rFonts w:cs="Calibri"/>
        </w:rPr>
        <w:t>–</w:t>
      </w:r>
      <w:r w:rsidRPr="004443A9">
        <w:t>444.681</w:t>
      </w:r>
      <w:r w:rsidRPr="004443A9">
        <w:rPr>
          <w:rFonts w:cs="Calibri"/>
        </w:rPr>
        <w:t> ​</w:t>
      </w:r>
      <w:r w:rsidRPr="004443A9">
        <w:t>Ma), and which was calibrated by 405 kyr long eccentricity cycles. The total duration of the Wufeng and Longmaxi shales is 5.01 Myr. The floating ATS used for estimating the duration of the graptolite zones and each stage in the study interval. Finally, we postulated two models that could verify the linkage between orbital cycle and organic accumulation. To make sure whether productivity or preservation is the main factor that under long eccentricity control, the phase correlation between the obtained filtered signal and the theoretical orbital solution should be made clear in the further research.</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Johnson, B.W., Wing, B.A., </w:t>
      </w:r>
      <w:r w:rsidR="00616347">
        <w:t xml:space="preserve">2020. </w:t>
      </w:r>
      <w:r w:rsidRPr="004443A9">
        <w:t xml:space="preserve">Limited Archaean continental emergence reflected in an early Archaean </w:t>
      </w:r>
      <w:r w:rsidRPr="004443A9">
        <w:rPr>
          <w:vertAlign w:val="superscript"/>
        </w:rPr>
        <w:t>18</w:t>
      </w:r>
      <w:r w:rsidRPr="004443A9">
        <w:t>O-enriched ocean. Nature Geoscience 13, 243-248.</w:t>
      </w:r>
    </w:p>
    <w:p w:rsidR="00DB42FE" w:rsidRPr="004443A9" w:rsidRDefault="00DB42FE" w:rsidP="00616347">
      <w:pPr>
        <w:pStyle w:val="EndNoteBibliography"/>
        <w:ind w:left="360"/>
      </w:pPr>
      <w:r w:rsidRPr="004443A9">
        <w:t>https://doi.org/10.1038/s41561-020-0538-9</w:t>
      </w:r>
    </w:p>
    <w:p w:rsidR="00DB42FE" w:rsidRPr="004443A9" w:rsidRDefault="00DB42FE" w:rsidP="00616347">
      <w:pPr>
        <w:pStyle w:val="EndNoteBibliography"/>
        <w:spacing w:after="0"/>
        <w:ind w:left="360"/>
      </w:pPr>
      <w:r w:rsidRPr="004443A9">
        <w:t xml:space="preserve">The origin and evolution of Earth’s biosphere were shaped by the physical and chemical histories of the oceans. Marine chemical sediments and altered oceanic crust preserve a geochemical record of these histories. Marine chemical sediments, for example, exhibit an increase in their </w:t>
      </w:r>
      <w:r w:rsidRPr="004443A9">
        <w:rPr>
          <w:vertAlign w:val="superscript"/>
        </w:rPr>
        <w:t>18</w:t>
      </w:r>
      <w:r w:rsidRPr="004443A9">
        <w:t>O/</w:t>
      </w:r>
      <w:r w:rsidRPr="004443A9">
        <w:rPr>
          <w:vertAlign w:val="superscript"/>
        </w:rPr>
        <w:t>16</w:t>
      </w:r>
      <w:r w:rsidRPr="004443A9">
        <w:t xml:space="preserve">O ratio through time. The implications of this signal are ambiguous but are typically cast in terms of two endmember (but not mutually exclusive) scenarios. The oceans may have been much warmer in the deep past if they had an oxygen isotope composition similar to that of today. Alternatively, the nature of fluid–rock interactions (including the weathering processes associated with continental emergence) may have been different in the past, leading to an evolving oceanic oxygen isotope composition. Here we examine approximately 3.24-billion-year-old hydrothermally altered oceanic crust from the Panorama district in the Pilbara Craton of Western Australia as an alternative oxygen isotope archive to marine chemical sediments. We find that, at that time, seawater at Panorama had an oxygen isotope composition enriched in </w:t>
      </w:r>
      <w:r w:rsidRPr="004443A9">
        <w:rPr>
          <w:vertAlign w:val="superscript"/>
        </w:rPr>
        <w:t>18</w:t>
      </w:r>
      <w:r w:rsidRPr="004443A9">
        <w:t>O relative to the modern ocean with a δ</w:t>
      </w:r>
      <w:r w:rsidRPr="004443A9">
        <w:rPr>
          <w:vertAlign w:val="superscript"/>
        </w:rPr>
        <w:t>18</w:t>
      </w:r>
      <w:r w:rsidRPr="004443A9">
        <w:t>O of 3.3 ± 0.1‰ VSMOW. We suggest that seawater δ</w:t>
      </w:r>
      <w:r w:rsidRPr="004443A9">
        <w:rPr>
          <w:vertAlign w:val="superscript"/>
        </w:rPr>
        <w:t>18</w:t>
      </w:r>
      <w:r w:rsidRPr="004443A9">
        <w:t xml:space="preserve">O may have decreased through time, in contrast to the large increases seen in marine chemical sediments. To explain this possibility, we construct an oxygen isotope exchange model of the geologic water cycle, which suggests that the initiation of continental weathering in the late Archaean, between 3 and 2.5 billion years ago, would have drawn down an </w:t>
      </w:r>
      <w:r w:rsidRPr="004443A9">
        <w:rPr>
          <w:vertAlign w:val="superscript"/>
        </w:rPr>
        <w:t>18</w:t>
      </w:r>
      <w:r w:rsidRPr="004443A9">
        <w:t>O-enriched early Archaean ocean to δ</w:t>
      </w:r>
      <w:r w:rsidRPr="004443A9">
        <w:rPr>
          <w:vertAlign w:val="superscript"/>
        </w:rPr>
        <w:t>18</w:t>
      </w:r>
      <w:r w:rsidRPr="004443A9">
        <w:t>O values similar to those of modern seawater. We conclude that Earth’s water cycle may have gone through two separate phases of steady-state behaviour, before and after the emergence of the continents.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Joo, Y.J., Sageman, B.B., Hurtgen, M.T., </w:t>
      </w:r>
      <w:r w:rsidR="00616347">
        <w:t xml:space="preserve">2020. </w:t>
      </w:r>
      <w:r w:rsidRPr="004443A9">
        <w:t>Data-model comparison reveals key environmental changes leading to Cenomanian-Turonian Oceanic Anoxic Event 2. Earth-Science Reviews 203, 103123.</w:t>
      </w:r>
    </w:p>
    <w:p w:rsidR="00DB42FE" w:rsidRPr="004443A9" w:rsidRDefault="00DB42FE" w:rsidP="00616347">
      <w:pPr>
        <w:pStyle w:val="EndNoteBibliography"/>
        <w:ind w:left="360"/>
      </w:pPr>
      <w:r w:rsidRPr="004443A9">
        <w:lastRenderedPageBreak/>
        <w:t>http://www.sciencedirect.com/science/article/pii/S0012825219306403</w:t>
      </w:r>
    </w:p>
    <w:p w:rsidR="00DB42FE" w:rsidRPr="004443A9" w:rsidRDefault="00DB42FE" w:rsidP="00616347">
      <w:pPr>
        <w:pStyle w:val="EndNoteBibliography"/>
        <w:spacing w:after="0"/>
        <w:ind w:left="360"/>
      </w:pPr>
      <w:r w:rsidRPr="004443A9">
        <w:t>The middle Cretaceous was a period characterized by elevated sea-floor spreading rates, enhanced volcanism, high atmospheric CO</w:t>
      </w:r>
      <w:r w:rsidRPr="004443A9">
        <w:rPr>
          <w:vertAlign w:val="subscript"/>
        </w:rPr>
        <w:t>2</w:t>
      </w:r>
      <w:r w:rsidRPr="004443A9">
        <w:t xml:space="preserve"> levels, warming temperatures, and the peak eustatic highstand of the Mesozoic. Two well-known perturbations in the global carbon cycle mark this interval – the Cenomanian-Turonian Oceanic Anoxic Event 2 (OAE2) and the Mid-Cenomanian Event (MCE). Although studies during the past two decades have arrived at a consensus that the Caribbean Large Igneous Province (LIP) likely played a key role in triggering OAE2, arguably the most significant perturbation of the Late Cretaceous, the detailed environmental developments during the Mid-Late Cenomanian leading up to it have only recently been the focus of investigations. This study, based on previous studies of the Middle Cenomanian – Early Turonian climate, tectonics, sea level, and carbon isotope chemostratigraphy, tests plausible environmental scenarios to explain the behavior of the Middle Cenomanian to Early Turonian carbon cycle, via isotope-mass balance calculation in a simple carbon cycle box model. The model experiments successfully reproduce two distinctive features observed in the Mid-Late Cenomanian δ</w:t>
      </w:r>
      <w:r w:rsidRPr="004443A9">
        <w:rPr>
          <w:vertAlign w:val="superscript"/>
        </w:rPr>
        <w:t>13</w:t>
      </w:r>
      <w:r w:rsidRPr="004443A9">
        <w:t>C curves - 1) decoupling of δ</w:t>
      </w:r>
      <w:r w:rsidRPr="004443A9">
        <w:rPr>
          <w:vertAlign w:val="superscript"/>
        </w:rPr>
        <w:t>13</w:t>
      </w:r>
      <w:r w:rsidRPr="004443A9">
        <w:t>C</w:t>
      </w:r>
      <w:r w:rsidRPr="004443A9">
        <w:rPr>
          <w:vertAlign w:val="subscript"/>
        </w:rPr>
        <w:t>carb</w:t>
      </w:r>
      <w:r w:rsidRPr="004443A9">
        <w:t xml:space="preserve"> and δ</w:t>
      </w:r>
      <w:r w:rsidRPr="004443A9">
        <w:rPr>
          <w:vertAlign w:val="superscript"/>
        </w:rPr>
        <w:t>13</w:t>
      </w:r>
      <w:r w:rsidRPr="004443A9">
        <w:t>C</w:t>
      </w:r>
      <w:r w:rsidRPr="004443A9">
        <w:rPr>
          <w:vertAlign w:val="subscript"/>
        </w:rPr>
        <w:t>org</w:t>
      </w:r>
      <w:r w:rsidRPr="004443A9">
        <w:t xml:space="preserve"> reflecting increasing isotope fractionation in response to steadily rising pCO</w:t>
      </w:r>
      <w:r w:rsidRPr="004443A9">
        <w:rPr>
          <w:vertAlign w:val="subscript"/>
        </w:rPr>
        <w:t>2</w:t>
      </w:r>
      <w:r w:rsidRPr="004443A9">
        <w:t>, driven by enhanced volcanic degassing of mantle-derived CO</w:t>
      </w:r>
      <w:r w:rsidRPr="004443A9">
        <w:rPr>
          <w:vertAlign w:val="subscript"/>
        </w:rPr>
        <w:t>2</w:t>
      </w:r>
      <w:r w:rsidRPr="004443A9">
        <w:t>, which likely preceded the presumed peak volcanism of the Caribbean LIP; and 2) a long-lived, secondary positive excursion that documents enhanced organic carbon burial in shallow shelf seas that expanded during global sea-level rise and highstand. We demonstrate a plausible combination of environmental forcings that pre-conditioned the mid-Cretaceous ocean-atmosphere system for a massive perturbation, OAE2.</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Jordan, S.F.A., Treude, T., Leifer, I., Janßen, R., Werner, J., Schulz-Vogt, H., Schmale, O., </w:t>
      </w:r>
      <w:r w:rsidR="00616347">
        <w:t xml:space="preserve">2020. </w:t>
      </w:r>
      <w:r w:rsidRPr="004443A9">
        <w:t>Bubble-mediated transport of benthic microorganisms into the water column: Identification of methanotrophs and implication of seepage intensity on transport efficiency. Scientific Reports 10, 4682.</w:t>
      </w:r>
    </w:p>
    <w:p w:rsidR="00DB42FE" w:rsidRPr="004443A9" w:rsidRDefault="00DB42FE" w:rsidP="00616347">
      <w:pPr>
        <w:pStyle w:val="EndNoteBibliography"/>
        <w:ind w:left="360"/>
      </w:pPr>
      <w:r w:rsidRPr="004443A9">
        <w:t>https://doi.org/10.1038/s41598-020-61446-9</w:t>
      </w:r>
    </w:p>
    <w:p w:rsidR="00DB42FE" w:rsidRPr="004443A9" w:rsidRDefault="00DB42FE" w:rsidP="00616347">
      <w:pPr>
        <w:pStyle w:val="EndNoteBibliography"/>
        <w:spacing w:after="0"/>
        <w:ind w:left="360"/>
      </w:pPr>
      <w:r w:rsidRPr="004443A9">
        <w:t>Benthic microorganisms transported into the water column potentially influence biogeochemical cycles and the pelagic food web structure. In the present study six gas-releasing vent sites in the Coal Oil Point seep field (California) were investigated, and the dislocation of microorganisms from the sediment into the water column via gas bubbles released from the seabed was documented. It was found that the methanotrophs transport efficiency was dependent on the volumetric gas flow, with the highest transport rate of 22.7 × 10</w:t>
      </w:r>
      <w:r w:rsidRPr="004443A9">
        <w:rPr>
          <w:vertAlign w:val="superscript"/>
        </w:rPr>
        <w:t>3</w:t>
      </w:r>
      <w:r w:rsidRPr="004443A9">
        <w:t xml:space="preserve"> cells mL</w:t>
      </w:r>
      <w:r w:rsidRPr="004443A9">
        <w:rPr>
          <w:vertAlign w:val="subscript"/>
        </w:rPr>
        <w:t>gas</w:t>
      </w:r>
      <w:r w:rsidRPr="004443A9">
        <w:rPr>
          <w:vertAlign w:val="superscript"/>
        </w:rPr>
        <w:t>−1</w:t>
      </w:r>
      <w:r w:rsidRPr="004443A9">
        <w:t xml:space="preserve"> at a volumetric gas flow of 0.07 mL</w:t>
      </w:r>
      <w:r w:rsidRPr="004443A9">
        <w:rPr>
          <w:vertAlign w:val="subscript"/>
        </w:rPr>
        <w:t>gas</w:t>
      </w:r>
      <w:r w:rsidRPr="004443A9">
        <w:t> s</w:t>
      </w:r>
      <w:r w:rsidRPr="004443A9">
        <w:rPr>
          <w:vertAlign w:val="superscript"/>
        </w:rPr>
        <w:t>−1</w:t>
      </w:r>
      <w:r w:rsidRPr="004443A9">
        <w:t>, and the lowest rate of 0.2 × 10</w:t>
      </w:r>
      <w:r w:rsidRPr="004443A9">
        <w:rPr>
          <w:vertAlign w:val="superscript"/>
        </w:rPr>
        <w:t>3</w:t>
      </w:r>
      <w:r w:rsidRPr="004443A9">
        <w:t xml:space="preserve"> cells mL</w:t>
      </w:r>
      <w:r w:rsidRPr="004443A9">
        <w:rPr>
          <w:vertAlign w:val="subscript"/>
        </w:rPr>
        <w:t>gas</w:t>
      </w:r>
      <w:r w:rsidRPr="004443A9">
        <w:rPr>
          <w:vertAlign w:val="superscript"/>
        </w:rPr>
        <w:t>−1</w:t>
      </w:r>
      <w:r w:rsidRPr="004443A9">
        <w:t xml:space="preserve"> at a gas flow of 2.2 mL</w:t>
      </w:r>
      <w:r w:rsidRPr="004443A9">
        <w:rPr>
          <w:vertAlign w:val="subscript"/>
        </w:rPr>
        <w:t>gas</w:t>
      </w:r>
      <w:r w:rsidRPr="004443A9">
        <w:t> s</w:t>
      </w:r>
      <w:r w:rsidRPr="004443A9">
        <w:rPr>
          <w:vertAlign w:val="superscript"/>
        </w:rPr>
        <w:t>−1</w:t>
      </w:r>
      <w:r w:rsidRPr="004443A9">
        <w:t xml:space="preserve">. A simple budget approach showed that this bubble-mediated transport has the potential to maintain a relevant part of the water-column methanotrophs in the seep field. The bubble-mediated link between the benthic and pelagic environment was further supported by genetic analyses, indicating a transportation of methanotrophs of the family </w:t>
      </w:r>
      <w:r w:rsidRPr="004443A9">
        <w:rPr>
          <w:i/>
        </w:rPr>
        <w:t>Methylomonaceae</w:t>
      </w:r>
      <w:r w:rsidRPr="004443A9">
        <w:t xml:space="preserve"> and oil degrading bacteria of the genus </w:t>
      </w:r>
      <w:r w:rsidRPr="004443A9">
        <w:rPr>
          <w:i/>
        </w:rPr>
        <w:t>Cycloclasticus</w:t>
      </w:r>
      <w:r w:rsidRPr="004443A9">
        <w:t xml:space="preserve"> from the sediment into the water column. These findings demonstrate that the bubble-mediated transport of microorganisms influences the pelagic microbial abundance and community composition at gas-releasing seep sites.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Julien, M., Goldman, M.J., Liu, C., Horita, J., Boreham, C.J., Yamada, K., Green, W.H., Yoshida, N., Gilbert, A., </w:t>
      </w:r>
      <w:r w:rsidR="00616347">
        <w:t xml:space="preserve">2020. </w:t>
      </w:r>
      <w:r w:rsidRPr="004443A9">
        <w:t xml:space="preserve">Intramolecular </w:t>
      </w:r>
      <w:r w:rsidRPr="004443A9">
        <w:rPr>
          <w:vertAlign w:val="superscript"/>
        </w:rPr>
        <w:t>13</w:t>
      </w:r>
      <w:r w:rsidRPr="004443A9">
        <w:t>C isotope distributions of butane from natural gases. Chemical Geology 541, 119571.</w:t>
      </w:r>
    </w:p>
    <w:p w:rsidR="00DB42FE" w:rsidRPr="004443A9" w:rsidRDefault="00DB42FE" w:rsidP="00616347">
      <w:pPr>
        <w:pStyle w:val="EndNoteBibliography"/>
        <w:ind w:left="360"/>
      </w:pPr>
      <w:r w:rsidRPr="004443A9">
        <w:lastRenderedPageBreak/>
        <w:t>http://www.sciencedirect.com/science/article/pii/S0009254120301108</w:t>
      </w:r>
    </w:p>
    <w:p w:rsidR="00DB42FE" w:rsidRPr="004443A9" w:rsidRDefault="00DB42FE" w:rsidP="00616347">
      <w:pPr>
        <w:pStyle w:val="EndNoteBibliography"/>
        <w:spacing w:after="0"/>
        <w:ind w:left="360"/>
      </w:pPr>
      <w:r w:rsidRPr="004443A9">
        <w:t xml:space="preserve">A single-step method allowing the measurement of </w:t>
      </w:r>
      <w:r w:rsidRPr="004443A9">
        <w:rPr>
          <w:vertAlign w:val="superscript"/>
        </w:rPr>
        <w:t>13</w:t>
      </w:r>
      <w:r w:rsidRPr="004443A9">
        <w:t>C intramolecular distribution of butane isomers (</w:t>
      </w:r>
      <w:r w:rsidRPr="004443A9">
        <w:rPr>
          <w:i/>
        </w:rPr>
        <w:t>n</w:t>
      </w:r>
      <w:r w:rsidRPr="004443A9">
        <w:t xml:space="preserve">- and </w:t>
      </w:r>
      <w:r w:rsidRPr="004443A9">
        <w:rPr>
          <w:i/>
        </w:rPr>
        <w:t>i</w:t>
      </w:r>
      <w:r w:rsidRPr="004443A9">
        <w:t xml:space="preserve">-butane) from natural gas samples was developed. The method builds up on the one that has been developed for propane, using on-line pyrolysis followed by isotope analysis of the pyrolytic fragments. The isotopic filiation between </w:t>
      </w:r>
      <w:r w:rsidRPr="004443A9">
        <w:rPr>
          <w:i/>
        </w:rPr>
        <w:t>n</w:t>
      </w:r>
      <w:r w:rsidRPr="004443A9">
        <w:t xml:space="preserve">-butane and its pyrolytic fragments was elucidated using samples spiked with </w:t>
      </w:r>
      <w:r w:rsidRPr="004443A9">
        <w:rPr>
          <w:vertAlign w:val="superscript"/>
        </w:rPr>
        <w:t>13</w:t>
      </w:r>
      <w:r w:rsidRPr="004443A9">
        <w:t xml:space="preserve">C on terminal positions. The isotopic filiation for </w:t>
      </w:r>
      <w:r w:rsidRPr="004443A9">
        <w:rPr>
          <w:i/>
        </w:rPr>
        <w:t>i</w:t>
      </w:r>
      <w:r w:rsidRPr="004443A9">
        <w:t xml:space="preserve">-butane could not be shown experimentally due to the lack of commercially available enriched </w:t>
      </w:r>
      <w:r w:rsidRPr="004443A9">
        <w:rPr>
          <w:i/>
        </w:rPr>
        <w:t>i</w:t>
      </w:r>
      <w:r w:rsidRPr="004443A9">
        <w:t xml:space="preserve">-butane. We thus used a recent model named Reaction Mechanism Generator (RMG) to assess the origin of the fragments arising from </w:t>
      </w:r>
      <w:r w:rsidRPr="004443A9">
        <w:rPr>
          <w:i/>
        </w:rPr>
        <w:t>i</w:t>
      </w:r>
      <w:r w:rsidRPr="004443A9">
        <w:t xml:space="preserve">-butane pyrolysis. Butanes from natural gas samples from the Carnarvon Basin (Australia) and the Arkoma Basin (USA) were analyzed. The results are consistent with a model for thermogenic natural gas generation and suggest that combined intramolecular isotope composition of propane and </w:t>
      </w:r>
      <w:r w:rsidRPr="004443A9">
        <w:rPr>
          <w:i/>
        </w:rPr>
        <w:t>n</w:t>
      </w:r>
      <w:r w:rsidRPr="004443A9">
        <w:t xml:space="preserve">-butane can be related to the gas maturity. In addition, the method allows the detection and shed light on the mechanism of </w:t>
      </w:r>
      <w:r w:rsidRPr="004443A9">
        <w:rPr>
          <w:i/>
        </w:rPr>
        <w:t>n</w:t>
      </w:r>
      <w:r w:rsidRPr="004443A9">
        <w:t xml:space="preserve">-butane and </w:t>
      </w:r>
      <w:r w:rsidRPr="004443A9">
        <w:rPr>
          <w:i/>
        </w:rPr>
        <w:t>i</w:t>
      </w:r>
      <w:r w:rsidRPr="004443A9">
        <w:t>-butane biodegradation in natural gas reservoirs.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Kabanov, P., Jiang, C., </w:t>
      </w:r>
      <w:r w:rsidR="00616347">
        <w:t xml:space="preserve">2020. </w:t>
      </w:r>
      <w:r w:rsidRPr="004443A9">
        <w:t>Photic-zone euxinia and anoxic events in a Middle-Late Devonian shelfal sea of Panthalassan continental margin, NW Canada: Changing paradigm of Devonian ocean and sea level fluctuations. Global and Planetary Change 188, 103153.</w:t>
      </w:r>
    </w:p>
    <w:p w:rsidR="00DB42FE" w:rsidRPr="004443A9" w:rsidRDefault="00DB42FE" w:rsidP="00616347">
      <w:pPr>
        <w:pStyle w:val="EndNoteBibliography"/>
        <w:ind w:left="360"/>
      </w:pPr>
      <w:r w:rsidRPr="004443A9">
        <w:t>http://www.sciencedirect.com/science/article/pii/S0921818120300436</w:t>
      </w:r>
    </w:p>
    <w:p w:rsidR="00DB42FE" w:rsidRPr="004443A9" w:rsidRDefault="00DB42FE" w:rsidP="00616347">
      <w:pPr>
        <w:pStyle w:val="EndNoteBibliography"/>
        <w:spacing w:after="0"/>
        <w:ind w:left="360"/>
      </w:pPr>
      <w:r w:rsidRPr="004443A9">
        <w:t>The latest Eifelian – Frasnian strata of the Mackenzie Valley, NW Canada, provide an excellent archive of paleoceanographic signals imprinted in oxic and anoxic facies deposited in close proximity. Fondoformic black-shale strata preserve fingerprints of four global anoxic events (Kačák, Frasnes, Middlesex, and Rhinestreet), which receives confirmation with δ</w:t>
      </w:r>
      <w:r w:rsidRPr="004443A9">
        <w:rPr>
          <w:vertAlign w:val="superscript"/>
        </w:rPr>
        <w:t>13</w:t>
      </w:r>
      <w:r w:rsidRPr="004443A9">
        <w:t>C</w:t>
      </w:r>
      <w:r w:rsidRPr="004443A9">
        <w:rPr>
          <w:vertAlign w:val="subscript"/>
        </w:rPr>
        <w:t>org</w:t>
      </w:r>
      <w:r w:rsidRPr="004443A9">
        <w:t xml:space="preserve"> data. The discovery of 2,3,6- and 3,4,5-trimethyl aryl isoprenoids (biomarkers of green sulfur bacteria) at and between the levels of anoxic events contributes to the growing evidence of photic-zone euxinia as a common state of oceanographically open and semi-restricted shelfal basins of the Middle Devonian – Early Mississippian; a condition impossible under present-day vigorous thermohaline circulation, but consistent with models of greenhouse ocean depicting drastic slowdown in watermass turnover, reversals of deep ocean circulation, greatly expanded oxygen minimum zones, and profoundly changed nutrient flows. The rocks under study were deposited in an oceanographically open basin with fluctuating chemocline as attested by unstable presence of gammacerane in GCMS spectra and co-occurrence of signatures of water-column euxinia and pyritized hyalosponge spicules indicating episodes of weak bottom oxygenation. Shallow-water carbonate banks in the same basin show signatures of reduced hydrodynamic activity and do not record sea level changes in excess of several meters, which lines up with the shortage of evidence for high-amplitude base-level fluctuations in coeval strata worldwide. This supports discarding changes in sea level as the principal control over Devonian anoxic events and instead suggests pulsatory expansions of thick, semi-continuous oxygen minimum zones of the greenhouse ocean. Sea level fluctuations could still be involved as non-glacial (thermal and aquifer?) eustatic transgressions of a modest amplitude which could hardly exceed ~30 m.</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Kahru, M., Goericke, R., Kelly, T.B., Stukel, M.R., </w:t>
      </w:r>
      <w:r w:rsidR="00616347">
        <w:t xml:space="preserve">2020. </w:t>
      </w:r>
      <w:r w:rsidRPr="004443A9">
        <w:t>Satellite estimation of carbon export by sinking particles in the California Current calibrated with sediment trap data. Deep Sea Research Part II: Topical Studies in Oceanography 173, 104639.</w:t>
      </w:r>
    </w:p>
    <w:p w:rsidR="00DB42FE" w:rsidRPr="004443A9" w:rsidRDefault="00DB42FE" w:rsidP="00616347">
      <w:pPr>
        <w:pStyle w:val="EndNoteBibliography"/>
        <w:ind w:left="360"/>
      </w:pPr>
      <w:r w:rsidRPr="004443A9">
        <w:lastRenderedPageBreak/>
        <w:t>http://www.sciencedirect.com/science/article/pii/S0967064519301675</w:t>
      </w:r>
    </w:p>
    <w:p w:rsidR="00DB42FE" w:rsidRPr="004443A9" w:rsidRDefault="00DB42FE" w:rsidP="00616347">
      <w:pPr>
        <w:pStyle w:val="EndNoteBibliography"/>
        <w:spacing w:after="0"/>
        <w:ind w:left="360"/>
      </w:pPr>
      <w:r w:rsidRPr="004443A9">
        <w:t>We evaluate a recent region-specific model of export production (Kelly et al., 2018) and some similar fits to in situ data for the California Current Ecosystem using satellite data. The model is a simple linear function of net primary productivity (NPP): Export = 0.08 × NPP + 72 where EF is export flux in mg C m</w:t>
      </w:r>
      <w:r w:rsidRPr="004443A9">
        <w:rPr>
          <w:vertAlign w:val="superscript"/>
        </w:rPr>
        <w:t>−2</w:t>
      </w:r>
      <w:r w:rsidRPr="004443A9">
        <w:t xml:space="preserve"> d</w:t>
      </w:r>
      <w:r w:rsidRPr="004443A9">
        <w:rPr>
          <w:vertAlign w:val="superscript"/>
        </w:rPr>
        <w:t>−1</w:t>
      </w:r>
      <w:r w:rsidRPr="004443A9">
        <w:t>. We confirm that contrary to several global algorithms export efficiency (</w:t>
      </w:r>
      <w:r w:rsidRPr="004443A9">
        <w:rPr>
          <w:i/>
        </w:rPr>
        <w:t>e</w:t>
      </w:r>
      <w:r w:rsidRPr="004443A9">
        <w:t>-ratio = export/primary productivity) is negatively correlated with net primary productivity. We find that linear models with a steeper slope of EF relative to NPP produce better estimates of the variability range. Choice of the EF model parameterization can more than double the estimate of temporal variability (standard deviation) in satellite-derived EF time series. The best estimates of EF were obtained when using average NPP during a preceding period of ~7–8 days. This is in contrast with NPP where the best satellite estimates of in situ NPP were obtained using same day satellite data and the coefficient of determination was monotonically decreasing with increasing time lag. We also find that there is substantial unexplained variability in EF that cannot be explained by existing models.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Kalks, F., Liebmann, P., Wordell-Dietrich, P., Guggenberger, G., Kalbitz, K., Mikutta, R., Helfrich, M., Don, A., </w:t>
      </w:r>
      <w:r w:rsidR="00616347">
        <w:t xml:space="preserve">2020. </w:t>
      </w:r>
      <w:r w:rsidRPr="004443A9">
        <w:t>Fate and stability of dissolved organic carbon in topsoils and subsoils under beech forests. Biogeochemistry 148, 111-128.</w:t>
      </w:r>
    </w:p>
    <w:p w:rsidR="00DB42FE" w:rsidRPr="004443A9" w:rsidRDefault="00DB42FE" w:rsidP="00616347">
      <w:pPr>
        <w:pStyle w:val="EndNoteBibliography"/>
        <w:ind w:left="360"/>
      </w:pPr>
      <w:r w:rsidRPr="004443A9">
        <w:t>https://doi.org/10.1007/s10533-020-00649-8</w:t>
      </w:r>
    </w:p>
    <w:p w:rsidR="00DB42FE" w:rsidRPr="004443A9" w:rsidRDefault="00DB42FE" w:rsidP="00616347">
      <w:pPr>
        <w:pStyle w:val="EndNoteBibliography"/>
        <w:spacing w:after="0"/>
        <w:ind w:left="360"/>
      </w:pPr>
      <w:r w:rsidRPr="004443A9">
        <w:t xml:space="preserve">Dissolved organic carbon (DOC) from Oa horizons has been proposed to be an important contributor for subsoil organic carbon stocks. We investigated the fate of DOC by directly injecting a DOC solution from </w:t>
      </w:r>
      <w:r w:rsidRPr="004443A9">
        <w:rPr>
          <w:vertAlign w:val="superscript"/>
        </w:rPr>
        <w:t>13</w:t>
      </w:r>
      <w:r w:rsidRPr="004443A9">
        <w:t>C labelled litter into three soil depths at beech forest sites. Fate of injected DOC was quantified with deep drilling soil cores down to 2 m depth, 3 and 17 months after the injection. 27 ± 26% of the injected DOC was retained after 3 months and 17 ± 22% after 17 months. Retained DOC was to 70% found in the first 10 cm below the injection depth and on average higher in the topsoil than in the subsoil. After 17 months DOC in the topsoil was largely lost (− 19%) while DOC in the subsoil did not change much (− 4.4%). Data indicated a high stabilisation of injected DOC in the subsoils with no differences between the sites. Potential mineralisation as revealed by incubation experiments however, was not different between DOC injected in topsoil or subsoils underlining the importance of environmental factors in the subsoil for DOC stabilisation compared to topsoil. We conclude that stability of DOC in subsoil is primary driven by its spatial inaccessibility for microorganisms after matrix flow while site specific properties did not significantly affect stabilisation. Instead, a more fine-textured site promotes the vertical transport of DOC due to a higher abundance of preferential flow paths.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Kamula, C.M., Macdonald, R.W., Kuzyk, Z.Z.A., </w:t>
      </w:r>
      <w:r w:rsidR="00616347">
        <w:t xml:space="preserve">2020. </w:t>
      </w:r>
      <w:r w:rsidRPr="004443A9">
        <w:t>Sediment and particulate organic carbon budgets of a subarctic estuarine fjard: Lake Melville, Labrador. Marine Geology 424, 106154.</w:t>
      </w:r>
    </w:p>
    <w:p w:rsidR="00DB42FE" w:rsidRPr="004443A9" w:rsidRDefault="00DB42FE" w:rsidP="00616347">
      <w:pPr>
        <w:pStyle w:val="EndNoteBibliography"/>
        <w:ind w:left="360"/>
      </w:pPr>
      <w:r w:rsidRPr="004443A9">
        <w:t>http://www.sciencedirect.com/science/article/pii/S0025322720300426</w:t>
      </w:r>
    </w:p>
    <w:p w:rsidR="00DB42FE" w:rsidRPr="004443A9" w:rsidRDefault="00DB42FE" w:rsidP="00616347">
      <w:pPr>
        <w:pStyle w:val="EndNoteBibliography"/>
        <w:spacing w:after="0"/>
        <w:ind w:left="360"/>
      </w:pPr>
      <w:r w:rsidRPr="004443A9">
        <w:t>Sediment and particulate organic carbon (POC) budgets constructed for oceanic regions provide a means to quantify the burial of POC, providing a baseline against which future change can be measured. Here we developed the first mass balance budgets of sediment and POC (terrestrial and marine) for the Lake Melville system (LMS; Goose Bay and Lake Melville) in central Labrador using previously published data (</w:t>
      </w:r>
      <w:r w:rsidRPr="004443A9">
        <w:rPr>
          <w:vertAlign w:val="superscript"/>
        </w:rPr>
        <w:t>210</w:t>
      </w:r>
      <w:r w:rsidRPr="004443A9">
        <w:t xml:space="preserve">Pb-based mass accumulation rates, river discharge, and total </w:t>
      </w:r>
      <w:r w:rsidRPr="004443A9">
        <w:lastRenderedPageBreak/>
        <w:t>suspended solids) together with measurements of %OC and δ</w:t>
      </w:r>
      <w:r w:rsidRPr="004443A9">
        <w:rPr>
          <w:vertAlign w:val="superscript"/>
        </w:rPr>
        <w:t>13</w:t>
      </w:r>
      <w:r w:rsidRPr="004443A9">
        <w:t>C signatures within dated sediment cores collected from the LMS basins and water from main tributaries and Groswater Bay. A two end-member mixing model was used to establish fractions of terrigenous and marine POC. Overall, our mass balance budgets show that the Churchill River is the major supply of sediment (16.7 ± 7.8 × 10</w:t>
      </w:r>
      <w:r w:rsidRPr="004443A9">
        <w:rPr>
          <w:vertAlign w:val="superscript"/>
        </w:rPr>
        <w:t>8</w:t>
      </w:r>
      <w:r w:rsidRPr="004443A9">
        <w:t xml:space="preserve"> kg y</w:t>
      </w:r>
      <w:r w:rsidRPr="004443A9">
        <w:rPr>
          <w:vertAlign w:val="superscript"/>
        </w:rPr>
        <w:t>−1</w:t>
      </w:r>
      <w:r w:rsidRPr="004443A9">
        <w:t>) and POC</w:t>
      </w:r>
      <w:r w:rsidRPr="004443A9">
        <w:rPr>
          <w:vertAlign w:val="subscript"/>
        </w:rPr>
        <w:t>terr</w:t>
      </w:r>
      <w:r w:rsidRPr="004443A9">
        <w:t xml:space="preserve"> (18.4 ± 6.6 × 10</w:t>
      </w:r>
      <w:r w:rsidRPr="004443A9">
        <w:rPr>
          <w:vertAlign w:val="superscript"/>
        </w:rPr>
        <w:t>6</w:t>
      </w:r>
      <w:r w:rsidRPr="004443A9">
        <w:t xml:space="preserve"> kg y</w:t>
      </w:r>
      <w:r w:rsidRPr="004443A9">
        <w:rPr>
          <w:vertAlign w:val="superscript"/>
        </w:rPr>
        <w:t>−1</w:t>
      </w:r>
      <w:r w:rsidRPr="004443A9">
        <w:t>) to the LMS, accounting for 47% and 56% of the total input to the system, respectively. Although the Churchill River drains directly into Goose Bay along with the smaller Goose River, the majority of sediment (12.9 ± 7.8 × 10</w:t>
      </w:r>
      <w:r w:rsidRPr="004443A9">
        <w:rPr>
          <w:vertAlign w:val="superscript"/>
        </w:rPr>
        <w:t>8</w:t>
      </w:r>
      <w:r w:rsidRPr="004443A9">
        <w:t xml:space="preserve"> kg y</w:t>
      </w:r>
      <w:r w:rsidRPr="004443A9">
        <w:rPr>
          <w:vertAlign w:val="superscript"/>
        </w:rPr>
        <w:t>−1</w:t>
      </w:r>
      <w:r w:rsidRPr="004443A9">
        <w:t>) and POC</w:t>
      </w:r>
      <w:r w:rsidRPr="004443A9">
        <w:rPr>
          <w:vertAlign w:val="subscript"/>
        </w:rPr>
        <w:t>terr</w:t>
      </w:r>
      <w:r w:rsidRPr="004443A9">
        <w:t xml:space="preserve"> (11.8 ± 7.0 × 10</w:t>
      </w:r>
      <w:r w:rsidRPr="004443A9">
        <w:rPr>
          <w:vertAlign w:val="superscript"/>
        </w:rPr>
        <w:t>6</w:t>
      </w:r>
      <w:r w:rsidRPr="004443A9">
        <w:t xml:space="preserve"> kg y</w:t>
      </w:r>
      <w:r w:rsidRPr="004443A9">
        <w:rPr>
          <w:vertAlign w:val="superscript"/>
        </w:rPr>
        <w:t>−1</w:t>
      </w:r>
      <w:r w:rsidRPr="004443A9">
        <w:t>) is transported eastward through the surface water plume into Lake Melville. Inputs of POC</w:t>
      </w:r>
      <w:r w:rsidRPr="004443A9">
        <w:rPr>
          <w:vertAlign w:val="subscript"/>
        </w:rPr>
        <w:t>mar</w:t>
      </w:r>
      <w:r w:rsidRPr="004443A9">
        <w:t xml:space="preserve"> from autochthonous primary production, estimated by applying an empirical relationship between sediment-surface flux of POC</w:t>
      </w:r>
      <w:r w:rsidRPr="004443A9">
        <w:rPr>
          <w:vertAlign w:val="subscript"/>
        </w:rPr>
        <w:t>mar</w:t>
      </w:r>
      <w:r w:rsidRPr="004443A9">
        <w:t xml:space="preserve"> and water depth, to Goose Bay (1.8 × 10</w:t>
      </w:r>
      <w:r w:rsidRPr="004443A9">
        <w:rPr>
          <w:vertAlign w:val="superscript"/>
        </w:rPr>
        <w:t>6</w:t>
      </w:r>
      <w:r w:rsidRPr="004443A9">
        <w:t xml:space="preserve"> kg y</w:t>
      </w:r>
      <w:r w:rsidRPr="004443A9">
        <w:rPr>
          <w:vertAlign w:val="superscript"/>
        </w:rPr>
        <w:t>−1</w:t>
      </w:r>
      <w:r w:rsidRPr="004443A9">
        <w:t>) and Lake Melville (98.3 ± 4.7 × 10</w:t>
      </w:r>
      <w:r w:rsidRPr="004443A9">
        <w:rPr>
          <w:vertAlign w:val="superscript"/>
        </w:rPr>
        <w:t>6</w:t>
      </w:r>
      <w:r w:rsidRPr="004443A9">
        <w:t xml:space="preserve"> kg y</w:t>
      </w:r>
      <w:r w:rsidRPr="004443A9">
        <w:rPr>
          <w:vertAlign w:val="superscript"/>
        </w:rPr>
        <w:t>−1</w:t>
      </w:r>
      <w:r w:rsidRPr="004443A9">
        <w:t>) increase with increasing distance from the Churchill River. To investigate the potential changes to the sediment load of the Churchill River to the LMS following impoundment at Muskrat Falls, we calculated the sediment increase using the median reservoir shoreline erosion potential. This approach showed that the delivery of sediment and POC</w:t>
      </w:r>
      <w:r w:rsidRPr="004443A9">
        <w:rPr>
          <w:vertAlign w:val="subscript"/>
        </w:rPr>
        <w:t>terr</w:t>
      </w:r>
      <w:r w:rsidRPr="004443A9">
        <w:t xml:space="preserve"> to the LMS by the Churchill River may double during the two years following impoundment of the lower Churchill River.</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Kanao, E., Kubo, T., Naito, T., Sano, T., Yan, M., Tanaka, N., Otsuka, K., </w:t>
      </w:r>
      <w:r w:rsidR="00616347">
        <w:t xml:space="preserve">2020. </w:t>
      </w:r>
      <w:r w:rsidRPr="004443A9">
        <w:t>Tunable liquid chromatographic separation of H/D isotopologues enabled by aromatic π interactions. Analytical Chemistry 92, 4065-4072.</w:t>
      </w:r>
    </w:p>
    <w:p w:rsidR="00DB42FE" w:rsidRPr="004443A9" w:rsidRDefault="00DB42FE" w:rsidP="00616347">
      <w:pPr>
        <w:pStyle w:val="EndNoteBibliography"/>
        <w:ind w:left="360"/>
      </w:pPr>
      <w:r w:rsidRPr="004443A9">
        <w:t>https://doi.org/10.1021/acs.analchem.9b05672</w:t>
      </w:r>
    </w:p>
    <w:p w:rsidR="00DB42FE" w:rsidRPr="004443A9" w:rsidRDefault="00DB42FE" w:rsidP="00616347">
      <w:pPr>
        <w:pStyle w:val="EndNoteBibliography"/>
        <w:spacing w:after="0"/>
        <w:ind w:left="360"/>
      </w:pPr>
      <w:r w:rsidRPr="004443A9">
        <w:t xml:space="preserve">We report hydrogen/deuterium (H/D) isotope effects based on weak intermolecular interactions with polar functional groups and aromatic rings in liquid chromatography (LC). Various LC experiments with different aromatic analytes, separation media, and nonpolar mobile phases were conducted under normal phase LC conditions, where the hydrophobic interaction was completely suppressed. The separation media that had polar functional groups, such as silanol groups, allowed for higher separation efficiencies for the pairs of aromatic H/D isotopologues. In comparing the </w:t>
      </w:r>
      <w:r w:rsidRPr="004443A9">
        <w:rPr>
          <w:vertAlign w:val="superscript"/>
        </w:rPr>
        <w:t>13</w:t>
      </w:r>
      <w:r w:rsidRPr="004443A9">
        <w:t>C NMR spectra of protiated and deuterated aromatic analytes, the electron density of the deuterated analyte was found to be slightly higher than that of the protiated analytes. In the case of silanol functional groups, aromatic rings of the analyte acted as donors through the OH−π interaction to hydrogen atoms in the silanol groups. Thus, the deuterated analytes were able to be greatly retained by the stronger OH-π interactions. Furthermore, a C</w:t>
      </w:r>
      <w:r w:rsidRPr="004443A9">
        <w:rPr>
          <w:vertAlign w:val="subscript"/>
        </w:rPr>
        <w:t>70</w:t>
      </w:r>
      <w:r w:rsidRPr="004443A9">
        <w:t>-fullerene bonded monolithic column (C70 column), which effectively provides CH−π interactions, allowed the opposite isotope effect. Briefly, an electrostatic attraction based on the dipole-(induced) dipole interaction dominated in the CH−π interactions, according to a van’t Hoff analysis. Hence, the bonding lengths of the C–H or D bonds were sensitively affected, such that we were able to conclude that the CH−π interaction depended on the geometric effect. Applying these opposing H/D isotope effects, we were able to finally demonstrate effective H/D isotopologue separations by utilizing the complementary action of the OH−π and CH-π interactions.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Kannberg, P.K., Constable, S., </w:t>
      </w:r>
      <w:r w:rsidR="00616347">
        <w:t xml:space="preserve">2020. </w:t>
      </w:r>
      <w:r w:rsidRPr="004443A9">
        <w:t>Characterization and quantification of gas hydrates in the California Borderlands. Geophysical Research Letters 47, e2019GL084703.</w:t>
      </w:r>
    </w:p>
    <w:p w:rsidR="00DB42FE" w:rsidRPr="004443A9" w:rsidRDefault="00DB42FE" w:rsidP="00616347">
      <w:pPr>
        <w:pStyle w:val="EndNoteBibliography"/>
        <w:ind w:left="360"/>
      </w:pPr>
      <w:r w:rsidRPr="004443A9">
        <w:t>https://doi.org/10.1029/2019GL084703</w:t>
      </w:r>
    </w:p>
    <w:p w:rsidR="00DB42FE" w:rsidRPr="004443A9" w:rsidRDefault="00DB42FE" w:rsidP="00616347">
      <w:pPr>
        <w:pStyle w:val="EndNoteBibliography"/>
        <w:ind w:left="360"/>
      </w:pPr>
      <w:r w:rsidRPr="004443A9">
        <w:lastRenderedPageBreak/>
        <w:t>Abstract: Electromagnetic methods are directly sensitive to electrically resistive gas hydrates and can be used to characterize and quantify hydrate deposits. Using a 1 km long deep‐towed marine electromagnetic system, six survey lines were acquired coincident with legacy seismic reflection data in the Santa Cruz Basin in the Outer California Borderlands. While the strongest seismic indicators place hydrate in the central basin, resistors inferred to be hydrate are located predominantly on the flanks of the basin, coincident with gas migration pathways such as faults and steeply dipping strata. Two features consistent with the resistivity profile from previously imaged seafloor methane seeps were also found. Resistivity is related to hydrate saturation through Archie's law, and total hydrate volume of the Santa Cruz Basin is estimated to be 980 × 10</w:t>
      </w:r>
      <w:r w:rsidRPr="004443A9">
        <w:rPr>
          <w:vertAlign w:val="superscript"/>
        </w:rPr>
        <w:t>9</w:t>
      </w:r>
      <w:r w:rsidRPr="004443A9">
        <w:t xml:space="preserve"> m</w:t>
      </w:r>
      <w:r w:rsidRPr="004443A9">
        <w:rPr>
          <w:vertAlign w:val="superscript"/>
        </w:rPr>
        <w:t>3</w:t>
      </w:r>
      <w:r w:rsidRPr="004443A9">
        <w:t xml:space="preserve"> of gas in place.</w:t>
      </w:r>
    </w:p>
    <w:p w:rsidR="00DB42FE" w:rsidRPr="004443A9" w:rsidRDefault="00DB42FE" w:rsidP="00616347">
      <w:pPr>
        <w:pStyle w:val="EndNoteBibliography"/>
        <w:spacing w:after="0"/>
        <w:ind w:left="360"/>
      </w:pPr>
      <w:r w:rsidRPr="004443A9">
        <w:t>Plain Language Summary: Gas hydrate is a mixture of methane gas (i.e., natural gas) and water that solidifies at high pressures and cold temperatures, such as in shallow marine sediments at depths greater than about 500 m. There is a lot of hydrate on Earth, but our understanding of where it is, and how much there is, is still evolving. As these hydrate deposits can affect the global carbon cycle, climate change, and submarine landslides, understanding the distribution of these deposits is vital. Hydrate is electrically resistive, which means it can be detected by transmitting an electric field in the ocean and recording the strength of that field on a series of instruments. The resulting data are used to construct electrical resistivity models of the Earth. These resistivity models tell us where, and how much, hydrate is located in our study area (the Santa Cruz Basin, located offshore Southern California). We found that the total volume of natural gas held in these hydrates is roughly a trillion cubic meters, enough to fill Dallas Cowboys stadium with natural gas over three hundred thousand times.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Kapili, B.J., Barnett, S.E., Buckley, D.H., Dekas, A.E., </w:t>
      </w:r>
      <w:r w:rsidR="00616347">
        <w:t xml:space="preserve">2020. </w:t>
      </w:r>
      <w:r w:rsidRPr="004443A9">
        <w:t>Evidence for phylogenetically and catabolically diverse active diazotrophs in deep-sea sediment. The ISME Journal 14, 971-983.</w:t>
      </w:r>
    </w:p>
    <w:p w:rsidR="00DB42FE" w:rsidRPr="004443A9" w:rsidRDefault="00DB42FE" w:rsidP="00616347">
      <w:pPr>
        <w:pStyle w:val="EndNoteBibliography"/>
        <w:ind w:left="360"/>
      </w:pPr>
      <w:r w:rsidRPr="004443A9">
        <w:t>https://doi.org/10.1038/s41396-019-0584-8</w:t>
      </w:r>
    </w:p>
    <w:p w:rsidR="00DB42FE" w:rsidRPr="004443A9" w:rsidRDefault="00DB42FE" w:rsidP="00616347">
      <w:pPr>
        <w:pStyle w:val="EndNoteBibliography"/>
        <w:spacing w:after="0"/>
        <w:ind w:left="360"/>
      </w:pPr>
      <w:r w:rsidRPr="004443A9">
        <w:t xml:space="preserve">Diazotrophic microorganisms regulate marine productivity by alleviating nitrogen limitation. However, we know little about the identity and activity of diazotrophs in deep-sea sediments, a habitat covering nearly two-thirds of the planet. Here, we identify candidate diazotrophs from Pacific Ocean sediments collected at 2893 m water depth using </w:t>
      </w:r>
      <w:r w:rsidRPr="004443A9">
        <w:rPr>
          <w:vertAlign w:val="superscript"/>
        </w:rPr>
        <w:t>15</w:t>
      </w:r>
      <w:r w:rsidRPr="004443A9">
        <w:t xml:space="preserve">N-DNA stable isotope probing and a novel pipeline for </w:t>
      </w:r>
      <w:r w:rsidRPr="004443A9">
        <w:rPr>
          <w:i/>
        </w:rPr>
        <w:t>nifH</w:t>
      </w:r>
      <w:r w:rsidRPr="004443A9">
        <w:t xml:space="preserve"> sequence analysis. Together, these approaches detect an unexpectedly diverse assemblage of active diazotrophs, including members of the </w:t>
      </w:r>
      <w:r w:rsidRPr="004443A9">
        <w:rPr>
          <w:i/>
        </w:rPr>
        <w:t>Acidobacteria</w:t>
      </w:r>
      <w:r w:rsidRPr="004443A9">
        <w:t xml:space="preserve">, </w:t>
      </w:r>
      <w:r w:rsidRPr="004443A9">
        <w:rPr>
          <w:i/>
        </w:rPr>
        <w:t>Firmicutes</w:t>
      </w:r>
      <w:r w:rsidRPr="004443A9">
        <w:t xml:space="preserve">, </w:t>
      </w:r>
      <w:r w:rsidRPr="004443A9">
        <w:rPr>
          <w:i/>
        </w:rPr>
        <w:t>Nitrospirae</w:t>
      </w:r>
      <w:r w:rsidRPr="004443A9">
        <w:t xml:space="preserve">, </w:t>
      </w:r>
      <w:r w:rsidRPr="004443A9">
        <w:rPr>
          <w:i/>
        </w:rPr>
        <w:t>Gammaproteobacteria</w:t>
      </w:r>
      <w:r w:rsidRPr="004443A9">
        <w:t xml:space="preserve">, and </w:t>
      </w:r>
      <w:r w:rsidRPr="004443A9">
        <w:rPr>
          <w:i/>
        </w:rPr>
        <w:t>Deltaproteobacteria. Deltaproteobacteria</w:t>
      </w:r>
      <w:r w:rsidRPr="004443A9">
        <w:t xml:space="preserve">, predominately members of the </w:t>
      </w:r>
      <w:r w:rsidRPr="004443A9">
        <w:rPr>
          <w:i/>
        </w:rPr>
        <w:t>Desulfobacterales</w:t>
      </w:r>
      <w:r w:rsidRPr="004443A9">
        <w:t xml:space="preserve"> and </w:t>
      </w:r>
      <w:r w:rsidRPr="004443A9">
        <w:rPr>
          <w:i/>
        </w:rPr>
        <w:t>Desulfuromonadales</w:t>
      </w:r>
      <w:r w:rsidRPr="004443A9">
        <w:t xml:space="preserve">, are the most abundant diazotrophs detected, and display the most microdiversity of associated </w:t>
      </w:r>
      <w:r w:rsidRPr="004443A9">
        <w:rPr>
          <w:i/>
        </w:rPr>
        <w:t>nifH</w:t>
      </w:r>
      <w:r w:rsidRPr="004443A9">
        <w:t xml:space="preserve"> sequences. Some of the detected lineages, including those within the </w:t>
      </w:r>
      <w:r w:rsidRPr="004443A9">
        <w:rPr>
          <w:i/>
        </w:rPr>
        <w:t>Acidobacteria</w:t>
      </w:r>
      <w:r w:rsidRPr="004443A9">
        <w:t>, have not previously been shown to fix nitrogen. The diazotrophs appear catabolically diverse, with the potential for using oxygen, nitrogen, iron, sulfur, and carbon as terminal electron acceptors. Therefore, benthic diazotrophy may persist throughout a range of geochemical conditions and provide a stable source of fixed nitrogen over geologic timescales. Our results suggest that nitrogen-fixing communities in deep-sea sediments are phylogenetically and catabolically diverse, and open a new line of inquiry into the ecology and biogeochemical impacts of deep-sea microorganisms.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Karp, D., </w:t>
      </w:r>
      <w:r w:rsidR="00616347">
        <w:t xml:space="preserve">2020. </w:t>
      </w:r>
      <w:r w:rsidRPr="004443A9">
        <w:t>Detecting small and cryptic animals by combining thermography and a wildlife detection dog. Scientific Reports 10, 5220.</w:t>
      </w:r>
    </w:p>
    <w:p w:rsidR="00DB42FE" w:rsidRPr="004443A9" w:rsidRDefault="00DB42FE" w:rsidP="00616347">
      <w:pPr>
        <w:pStyle w:val="EndNoteBibliography"/>
        <w:ind w:left="360"/>
      </w:pPr>
      <w:r w:rsidRPr="004443A9">
        <w:lastRenderedPageBreak/>
        <w:t>https://doi.org/10.1038/s41598-020-61594-y</w:t>
      </w:r>
    </w:p>
    <w:p w:rsidR="00DB42FE" w:rsidRPr="004443A9" w:rsidRDefault="00DB42FE" w:rsidP="00616347">
      <w:pPr>
        <w:pStyle w:val="EndNoteBibliography"/>
        <w:spacing w:after="0"/>
        <w:ind w:left="360"/>
      </w:pPr>
      <w:r w:rsidRPr="004443A9">
        <w:t>Small and cryptic species are challenging to detect and study in their natural habitat. Many of these species are of conservation concern, and conservation efforts may be hampered by the lack of basic information on their ecological needs. Brown hare (</w:t>
      </w:r>
      <w:r w:rsidRPr="004443A9">
        <w:rPr>
          <w:i/>
        </w:rPr>
        <w:t>Lepus europaeus</w:t>
      </w:r>
      <w:r w:rsidRPr="004443A9">
        <w:t>) leverets - one example of such a small, cryptic and endangered animal - are notoriously difficult to detect, and therefore data on wild leverets are virtually non-existent. Novel technologies and methods such as thermal imaging and the use of wildlife detection dogs represent suitable means for the detection of such species by overcoming the problem of camouflage, using heat or scent emission respectively. Our study on brown hare leverets provides information on how to apply these new techniques successfully for the detection of small and cryptic species, thus enabling the collection of data that was previously inaccessible (e.g. behavioural observation, radio tagging). We found that the choice of method should be made according to vegetative structure. While the handheld thermal imaging camera is best used in areas with no or low vegetative cover, the thermal drone can be used up to medium vegetative cover, whereas the detection dog method is best applied where vegetation is very dense and not suitable to be searched using thermography. Being able to search all sort of different vegetation types, our combined approach enables the collection of a balanced and unbiased dataset regarding habitat type and hence selection of study specimen. We hope that the use of these new techniques will encourage research on many cryptic species that formerly have been neglected because they could not be detected using conventional methodologies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Katasonova, O.N., Savonina, E.Y., Maryutina, T.A., </w:t>
      </w:r>
      <w:r w:rsidR="00616347">
        <w:t xml:space="preserve">2020. </w:t>
      </w:r>
      <w:r w:rsidRPr="004443A9">
        <w:t>Extraction separation of sulfur compounds from crude oils in a flow-through mode. Journal of Analytical Chemistry 75, 148-153.</w:t>
      </w:r>
    </w:p>
    <w:p w:rsidR="00DB42FE" w:rsidRPr="004443A9" w:rsidRDefault="00DB42FE" w:rsidP="00616347">
      <w:pPr>
        <w:pStyle w:val="EndNoteBibliography"/>
        <w:ind w:left="360"/>
      </w:pPr>
      <w:r w:rsidRPr="004443A9">
        <w:t>https://doi.org/10.1134/S1061934820020070</w:t>
      </w:r>
    </w:p>
    <w:p w:rsidR="00DB42FE" w:rsidRPr="004443A9" w:rsidRDefault="00DB42FE" w:rsidP="00616347">
      <w:pPr>
        <w:pStyle w:val="EndNoteBibliography"/>
        <w:spacing w:after="0"/>
        <w:ind w:left="360"/>
      </w:pPr>
      <w:r w:rsidRPr="004443A9">
        <w:t>A flow-through method is proposed for the separation of sulfur compounds from sulfur and sour crude oils by solvent extraction using centrifugal extractors. The effectiveness of using various organic (tetrahydrofuran, pyridine, methanol, ethanol, acetone, dimethylformamide, and acetonitrile) and inorganic (mineral acids, NaOH) extractants for the extraction of sulfur-containing compounds from crude oils of the Ashal’chinskii and Romashkinskii deposits is estimated. It is shown that methanol and dimethylformamide are most effective for extracting sulfur from crude oils. The use of additional sample preparation, which consists in the ultrasonic and/or magnetic processing of oil in combination with its oxidation and heating, increases the efficiency of extraction of sulfur-containing compounds by 20–40%. It is shown that the choice of extractant composition for the extraction of sulfur compounds is determined by the physicochemical properties and composition of the oil.</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Katsevich, A., Frenkel, M., Sun, Q., Eichmann, S.L., Prieto, V., </w:t>
      </w:r>
      <w:r w:rsidR="00616347">
        <w:t xml:space="preserve">2020. </w:t>
      </w:r>
      <w:r w:rsidRPr="004443A9">
        <w:t>High-quality microCT rock imaging: methodology to measure and correct for X-ray scatter. SPE Journal 25, 226-241.</w:t>
      </w:r>
    </w:p>
    <w:p w:rsidR="00DB42FE" w:rsidRPr="004443A9" w:rsidRDefault="00DB42FE" w:rsidP="00616347">
      <w:pPr>
        <w:pStyle w:val="EndNoteBibliography"/>
        <w:ind w:left="360"/>
      </w:pPr>
      <w:r w:rsidRPr="004443A9">
        <w:t>https://doi.org/10.2118/198894-PA</w:t>
      </w:r>
    </w:p>
    <w:p w:rsidR="00DB42FE" w:rsidRPr="004443A9" w:rsidRDefault="00DB42FE" w:rsidP="00616347">
      <w:pPr>
        <w:pStyle w:val="EndNoteBibliography"/>
        <w:ind w:left="360"/>
      </w:pPr>
      <w:r w:rsidRPr="004443A9">
        <w:t xml:space="preserve">Microcomputed tomography (microCT) of cores yields valuable information about rock and fluid properties at pore scale for conventional rock and at rock heterogeneity scale for unconventionals. High levels of uncorrected X-ray scatter in computed tomography (CT) data lead to strong image artifacts and erroneous Hounsfield unit (HU) values, making reconstructed images unsuitable for accurate digital rock (DR) characterization (e.g., segmentation, material decomposition, and others). </w:t>
      </w:r>
      <w:r w:rsidRPr="004443A9">
        <w:lastRenderedPageBreak/>
        <w:t>MicroCT scanners do not include scatter correction techniques. To fill this gap, we developed a new methodology to measure and remove the scatter component from raw projection microCT data collected during rock core scans, and ultimately improving the image quality of scanned cores.</w:t>
      </w:r>
    </w:p>
    <w:p w:rsidR="00DB42FE" w:rsidRPr="004443A9" w:rsidRDefault="00DB42FE" w:rsidP="00616347">
      <w:pPr>
        <w:pStyle w:val="EndNoteBibliography"/>
        <w:ind w:left="360"/>
      </w:pPr>
      <w:r w:rsidRPr="004443A9">
        <w:t>Widely used approaches for scatter estimation, based on Monte Carlo (MC) simulations and simplified analytical models, are time-consuming and may lose accuracy when imaging complex unconventional shale cores. In this paper, we propose a more practical approach to perform scatter correction from direct scatter measurements, an approach that is based on the beam-stop array (BSA) method. The BSA method works as follows: The radiation scattered by the core sample is emitted in random directions. By placing an array of small, highly absorbing beads between the source and the core, the primary X-ray signal through the beads is blocked, but the overall object scatter signal is not affected. The observed values in the beads' shadows on the detector are assumed to be scatter signal. Performing interpolation of the scatter signal between the shadowed by beads pixels on the detector gives an estimate of the scatter signal at every pixel on the detector. Subtracting scatter from projection data yields scatter-corrected data used for 3D CT core image reconstruction.</w:t>
      </w:r>
    </w:p>
    <w:p w:rsidR="00DB42FE" w:rsidRPr="004443A9" w:rsidRDefault="00DB42FE" w:rsidP="00616347">
      <w:pPr>
        <w:pStyle w:val="EndNoteBibliography"/>
        <w:ind w:left="360"/>
      </w:pPr>
      <w:r w:rsidRPr="004443A9">
        <w:t>To develop the core scatter correction methodology, we executed the following three tasks: (1) performed modeling of primary and scattered signals to optimize the BSA design (beads size and layout) and scan parameters; (2) developed and implemented an accurate scatter correction algorithm into our 3D microCT image reconstruction workflow; and (3) tested the proposed methodology using four shale core samples from the United States and the Middle East.</w:t>
      </w:r>
    </w:p>
    <w:p w:rsidR="00DB42FE" w:rsidRPr="004443A9" w:rsidRDefault="00DB42FE" w:rsidP="00616347">
      <w:pPr>
        <w:pStyle w:val="EndNoteBibliography"/>
        <w:ind w:left="360"/>
      </w:pPr>
      <w:r w:rsidRPr="004443A9">
        <w:t>To better assess the impact of scatter, all experiments with shale core plugs presented in this paper were conducted using source energy of 160 kVp. Our results demonstrated that in many cases, especially with higher attenuating cores, failing to correct for X-ray scatter may result in significant loss of image reconstruction accuracy. We also showed that the developed methodology allows for accurate estimation and removal of scatter from the raw (projection) CT data, enabling reconstruction of high-quality core images that are required for performing DR analysis.</w:t>
      </w:r>
    </w:p>
    <w:p w:rsidR="00DB42FE" w:rsidRPr="004443A9" w:rsidRDefault="00DB42FE" w:rsidP="00616347">
      <w:pPr>
        <w:pStyle w:val="EndNoteBibliography"/>
        <w:ind w:left="360"/>
      </w:pPr>
      <w:r w:rsidRPr="004443A9">
        <w:t>To assess the impact of X-ray scatter on the accuracy of DR segmentation, we compared the amount of resolved air-filled space using a stack of image slices by thresholding for the air regions. Our results showed that the amount of detected air-filled space may increase significantly when scatter correction is applied.</w:t>
      </w:r>
    </w:p>
    <w:p w:rsidR="00DB42FE" w:rsidRPr="004443A9" w:rsidRDefault="00DB42FE" w:rsidP="00616347">
      <w:pPr>
        <w:pStyle w:val="EndNoteBibliography"/>
        <w:spacing w:after="0"/>
        <w:ind w:left="360"/>
      </w:pPr>
      <w:r w:rsidRPr="004443A9">
        <w:t>The presented scatter correction methodology is general and can be used with any microCT scanner used by the petroleum industry to improve image quality and derive accurate HU values. This is of significant importance for quantitative characterization of highly heterogeneous rock with fine structural changes, as is the case for shale. Ultimately, this methodology should expand the operational envelope and value of microCT imaging in the exploration and production workflows.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Keles, C., Tang, X., Schlosser, C., Louk, A.K., Ripepi, N.S., </w:t>
      </w:r>
      <w:r w:rsidR="00616347">
        <w:t xml:space="preserve">2020. </w:t>
      </w:r>
      <w:r w:rsidRPr="004443A9">
        <w:t>Sensitivity and history match analysis of a carbon dioxide “huff-and-puff” injection test in a horizontal shale gas well in Tennessee. Journal of Natural Gas Science and Engineering 77, 103226.</w:t>
      </w:r>
    </w:p>
    <w:p w:rsidR="00DB42FE" w:rsidRPr="004443A9" w:rsidRDefault="00DB42FE" w:rsidP="00616347">
      <w:pPr>
        <w:pStyle w:val="EndNoteBibliography"/>
        <w:ind w:left="360"/>
      </w:pPr>
      <w:r w:rsidRPr="004443A9">
        <w:t>http://www.sciencedirect.com/science/article/pii/S1875510020300809</w:t>
      </w:r>
    </w:p>
    <w:p w:rsidR="00DB42FE" w:rsidRPr="004443A9" w:rsidRDefault="00DB42FE" w:rsidP="00616347">
      <w:pPr>
        <w:pStyle w:val="EndNoteBibliography"/>
        <w:spacing w:after="0"/>
        <w:ind w:left="360"/>
      </w:pPr>
      <w:r w:rsidRPr="004443A9">
        <w:t xml:space="preserve">Due to improvements in well development, shale gas production has gained importance in recent years, especially in the United States. To improve gas production and develop a better </w:t>
      </w:r>
      <w:r w:rsidRPr="004443A9">
        <w:lastRenderedPageBreak/>
        <w:t>understanding of shale reservoirs, researchers are conducting field tests to monitor CO</w:t>
      </w:r>
      <w:r w:rsidRPr="004443A9">
        <w:rPr>
          <w:vertAlign w:val="subscript"/>
        </w:rPr>
        <w:t>2</w:t>
      </w:r>
      <w:r w:rsidRPr="004443A9">
        <w:t xml:space="preserve"> storage and enhanced gas recovery. Reservoir simulations can then utilize these field results for sensitivity studies, uncertainty analysis, history matching, gas production forecasts, and CO</w:t>
      </w:r>
      <w:r w:rsidRPr="004443A9">
        <w:rPr>
          <w:vertAlign w:val="subscript"/>
        </w:rPr>
        <w:t>2</w:t>
      </w:r>
      <w:r w:rsidRPr="004443A9">
        <w:t xml:space="preserve"> storage capacity estimations. One such field test was performed for the Chattanooga Shale formation in Morgan County, Tennessee. Approximately 463 tonnes (510 tons) of CO</w:t>
      </w:r>
      <w:r w:rsidRPr="004443A9">
        <w:rPr>
          <w:vertAlign w:val="subscript"/>
        </w:rPr>
        <w:t>2</w:t>
      </w:r>
      <w:r w:rsidRPr="004443A9">
        <w:t xml:space="preserve"> was successfully injected into a hydraulically fractured horizontal well over a thirteen-day period in March 2014. The injection test was achieved in four steps: pre-injection, injection, soaking, and flowback. In this paper, those steps were modeled with a reservoir simulator to match the historic production and injection rates with gas component compositions and forecast the production for five years. The reservoir fluid was modeled as a multi-component gas, including CH</w:t>
      </w:r>
      <w:r w:rsidRPr="004443A9">
        <w:rPr>
          <w:vertAlign w:val="subscript"/>
        </w:rPr>
        <w:t>4</w:t>
      </w:r>
      <w:r w:rsidRPr="004443A9">
        <w:t>, C</w:t>
      </w:r>
      <w:r w:rsidRPr="004443A9">
        <w:rPr>
          <w:vertAlign w:val="subscript"/>
        </w:rPr>
        <w:t>2</w:t>
      </w:r>
      <w:r w:rsidRPr="004443A9">
        <w:t>H</w:t>
      </w:r>
      <w:r w:rsidRPr="004443A9">
        <w:rPr>
          <w:vertAlign w:val="subscript"/>
        </w:rPr>
        <w:t>6</w:t>
      </w:r>
      <w:r w:rsidRPr="004443A9">
        <w:t>, C</w:t>
      </w:r>
      <w:r w:rsidRPr="004443A9">
        <w:rPr>
          <w:vertAlign w:val="subscript"/>
        </w:rPr>
        <w:t>3</w:t>
      </w:r>
      <w:r w:rsidRPr="004443A9">
        <w:t>H</w:t>
      </w:r>
      <w:r w:rsidRPr="004443A9">
        <w:rPr>
          <w:vertAlign w:val="subscript"/>
        </w:rPr>
        <w:t>8</w:t>
      </w:r>
      <w:r w:rsidRPr="004443A9">
        <w:t>, N</w:t>
      </w:r>
      <w:r w:rsidRPr="004443A9">
        <w:rPr>
          <w:vertAlign w:val="subscript"/>
        </w:rPr>
        <w:t>2</w:t>
      </w:r>
      <w:r w:rsidRPr="004443A9">
        <w:t>, and CO</w:t>
      </w:r>
      <w:r w:rsidRPr="004443A9">
        <w:rPr>
          <w:vertAlign w:val="subscript"/>
        </w:rPr>
        <w:t>2</w:t>
      </w:r>
      <w:r w:rsidRPr="004443A9">
        <w:t>. Langmuir constants, reservoir pressure, and fracture network volume were adjusted to match simulation results with observed production rates and gas composition. Results showed that, under the same reservoir conditions, each gas component behaves differently by way of compositional changes in production. CH</w:t>
      </w:r>
      <w:r w:rsidRPr="004443A9">
        <w:rPr>
          <w:vertAlign w:val="subscript"/>
        </w:rPr>
        <w:t>4</w:t>
      </w:r>
      <w:r w:rsidRPr="004443A9">
        <w:t xml:space="preserve"> behaves like N</w:t>
      </w:r>
      <w:r w:rsidRPr="004443A9">
        <w:rPr>
          <w:vertAlign w:val="subscript"/>
        </w:rPr>
        <w:t>2</w:t>
      </w:r>
      <w:r w:rsidRPr="004443A9">
        <w:t>, while CO</w:t>
      </w:r>
      <w:r w:rsidRPr="004443A9">
        <w:rPr>
          <w:vertAlign w:val="subscript"/>
        </w:rPr>
        <w:t>2</w:t>
      </w:r>
      <w:r w:rsidRPr="004443A9">
        <w:t xml:space="preserve"> behaves like heavier hydrocarbons such as C</w:t>
      </w:r>
      <w:r w:rsidRPr="004443A9">
        <w:rPr>
          <w:vertAlign w:val="subscript"/>
        </w:rPr>
        <w:t>2</w:t>
      </w:r>
      <w:r w:rsidRPr="004443A9">
        <w:t>H</w:t>
      </w:r>
      <w:r w:rsidRPr="004443A9">
        <w:rPr>
          <w:vertAlign w:val="subscript"/>
        </w:rPr>
        <w:t>6</w:t>
      </w:r>
      <w:r w:rsidRPr="004443A9">
        <w:t xml:space="preserve"> and C</w:t>
      </w:r>
      <w:r w:rsidRPr="004443A9">
        <w:rPr>
          <w:vertAlign w:val="subscript"/>
        </w:rPr>
        <w:t>3</w:t>
      </w:r>
      <w:r w:rsidRPr="004443A9">
        <w:t>H</w:t>
      </w:r>
      <w:r w:rsidRPr="004443A9">
        <w:rPr>
          <w:vertAlign w:val="subscript"/>
        </w:rPr>
        <w:t>8</w:t>
      </w:r>
      <w:r w:rsidRPr="004443A9">
        <w:t>. CO</w:t>
      </w:r>
      <w:r w:rsidRPr="004443A9">
        <w:rPr>
          <w:vertAlign w:val="subscript"/>
        </w:rPr>
        <w:t>2</w:t>
      </w:r>
      <w:r w:rsidRPr="004443A9">
        <w:t xml:space="preserve"> plume results showed that, after injection, the produced CO</w:t>
      </w:r>
      <w:r w:rsidRPr="004443A9">
        <w:rPr>
          <w:vertAlign w:val="subscript"/>
        </w:rPr>
        <w:t>2</w:t>
      </w:r>
      <w:r w:rsidRPr="004443A9">
        <w:t xml:space="preserve"> is mostly derived from fractured limestone (i.e., Fort Payne Formation) because the injected CO</w:t>
      </w:r>
      <w:r w:rsidRPr="004443A9">
        <w:rPr>
          <w:vertAlign w:val="subscript"/>
        </w:rPr>
        <w:t>2</w:t>
      </w:r>
      <w:r w:rsidRPr="004443A9">
        <w:t xml:space="preserve"> is not adsorbed in limestone but rather by shale formations.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Khoo, K.S., Chew, K.W., Yew, G.Y., Leong, W.H., Chai, Y.H., Show, P.L., Chen, W.-H., </w:t>
      </w:r>
      <w:r w:rsidR="00616347">
        <w:t xml:space="preserve">2020. </w:t>
      </w:r>
      <w:r w:rsidRPr="004443A9">
        <w:t>Recent advances in downstream processing of microalgae lipid recovery for biofuel production. Bioresource Technology 304, 122996.</w:t>
      </w:r>
    </w:p>
    <w:p w:rsidR="00DB42FE" w:rsidRPr="004443A9" w:rsidRDefault="00DB42FE" w:rsidP="00616347">
      <w:pPr>
        <w:pStyle w:val="EndNoteBibliography"/>
        <w:ind w:left="360"/>
      </w:pPr>
      <w:r w:rsidRPr="004443A9">
        <w:t>http://www.sciencedirect.com/science/article/pii/S0960852420302650</w:t>
      </w:r>
    </w:p>
    <w:p w:rsidR="00DB42FE" w:rsidRPr="004443A9" w:rsidRDefault="00DB42FE" w:rsidP="00616347">
      <w:pPr>
        <w:pStyle w:val="EndNoteBibliography"/>
        <w:spacing w:after="0"/>
        <w:ind w:left="360"/>
      </w:pPr>
      <w:r w:rsidRPr="004443A9">
        <w:t>The world energy system faces two major challenges: the requirement for more energy and less carbon. It is important to address biofuels production as an alternative to the usage of fossil fuel by utilizing microalgae as the potential feedstock. Yet, the commercialization of microalgae remains contentious caused by factors relating to the life cycle assessment and feasibility of microalgae-based biofuels. This present review starts with an introduction to the benefits of microalgae, followed by intensive elaboration on microalgae cultivation parameters. Subsequently, the fundamental principle along with the advantages and disadvantages of various pretreatment techniques of microalgae were reviewed. In addition, the conventional and recent advances in lipid extraction techniques from microalgae were comprehensively evaluated. Comparative analysis regard to the gaps from previous studies was discussed point-by-point in each section. The effort presented in this review will provide an insight for future researches dealing with microalgae-biofuel production on downstream processing.</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Kim, J.-H., Hachikubo, A., Kida, M., Minami, H., Lee, D.-H., Jin, Y.K., Ryu, J.-S., Lee, Y.M., Hur, J., Park, M.-H., Kim, Y.-G., Kang, M.-H., Park, S., Chen, M., Kang, S.-G., Kim, S., </w:t>
      </w:r>
      <w:r w:rsidR="00616347">
        <w:t xml:space="preserve">2020. </w:t>
      </w:r>
      <w:r w:rsidRPr="004443A9">
        <w:t>Upwarding gas source and postgenetic processes in the shallow sediments from the ARAON Mounds, Chukchi Sea. Journal of Natural Gas Science and Engineering 76, 103223.</w:t>
      </w:r>
    </w:p>
    <w:p w:rsidR="00DB42FE" w:rsidRPr="004443A9" w:rsidRDefault="00DB42FE" w:rsidP="00616347">
      <w:pPr>
        <w:pStyle w:val="EndNoteBibliography"/>
        <w:ind w:left="360"/>
      </w:pPr>
      <w:r w:rsidRPr="004443A9">
        <w:t>http://www.sciencedirect.com/science/article/pii/S1875510020300779</w:t>
      </w:r>
    </w:p>
    <w:p w:rsidR="00DB42FE" w:rsidRPr="004443A9" w:rsidRDefault="00DB42FE" w:rsidP="00616347">
      <w:pPr>
        <w:pStyle w:val="EndNoteBibliography"/>
        <w:ind w:left="360"/>
      </w:pPr>
      <w:r w:rsidRPr="004443A9">
        <w:t>The methane (CH</w:t>
      </w:r>
      <w:r w:rsidRPr="004443A9">
        <w:rPr>
          <w:vertAlign w:val="subscript"/>
        </w:rPr>
        <w:t>4</w:t>
      </w:r>
      <w:r w:rsidRPr="004443A9">
        <w:t>) emission from the Arctic Ocean is crucial to understand global carbon cycle. Here, we investigated sulfate (SO</w:t>
      </w:r>
      <w:r w:rsidRPr="004443A9">
        <w:rPr>
          <w:vertAlign w:val="subscript"/>
        </w:rPr>
        <w:t>4</w:t>
      </w:r>
      <w:r w:rsidRPr="004443A9">
        <w:rPr>
          <w:vertAlign w:val="superscript"/>
        </w:rPr>
        <w:t>2−</w:t>
      </w:r>
      <w:r w:rsidRPr="004443A9">
        <w:t xml:space="preserve">) in pore water and compositional and isotopic gas signatures at ARAON Mounds (hydrate/nonhydrate-bearing sites) and background site in the Chukchi Sea. </w:t>
      </w:r>
      <w:r w:rsidRPr="004443A9">
        <w:lastRenderedPageBreak/>
        <w:t>Sulfate-methane transition (SMT) did not reach at the background site but occurred at shallow depths (≤3.3 m below the seafloor) at all ARAON Mounds sites. The SO</w:t>
      </w:r>
      <w:r w:rsidRPr="004443A9">
        <w:rPr>
          <w:vertAlign w:val="subscript"/>
        </w:rPr>
        <w:t>4</w:t>
      </w:r>
      <w:r w:rsidRPr="004443A9">
        <w:rPr>
          <w:vertAlign w:val="superscript"/>
        </w:rPr>
        <w:t>2−</w:t>
      </w:r>
      <w:r w:rsidRPr="004443A9">
        <w:t xml:space="preserve"> profiles at ARAON Mounds also clearly indicate the unsteady state due to upward gas migration by high flux at the hydrate-bearing sites compared to the nonhydrate-bearing sites. The isotopic signatures of gas samples at the hydrate-bearing sites and below the SMT at the nonhydrate-bearing sites reflect thermogenic source transported across at least 1 km through faults/fractures in the Chukchi Sea. The headspace (HS) gas samples above/near the SMT at the nonhydrate-bearing sites are affected by the biogenic CH</w:t>
      </w:r>
      <w:r w:rsidRPr="004443A9">
        <w:rPr>
          <w:vertAlign w:val="subscript"/>
        </w:rPr>
        <w:t>4</w:t>
      </w:r>
      <w:r w:rsidRPr="004443A9">
        <w:t xml:space="preserve"> with enriched </w:t>
      </w:r>
      <w:r w:rsidRPr="004443A9">
        <w:rPr>
          <w:vertAlign w:val="superscript"/>
        </w:rPr>
        <w:t>12</w:t>
      </w:r>
      <w:r w:rsidRPr="004443A9">
        <w:t>C; they indicate biogenic or thermogenic/biogenic mixed sources. The thermogenic gases below the SMT at ARAON Mounds have high C</w:t>
      </w:r>
      <w:r w:rsidRPr="004443A9">
        <w:rPr>
          <w:vertAlign w:val="subscript"/>
        </w:rPr>
        <w:t>1</w:t>
      </w:r>
      <w:r w:rsidRPr="004443A9">
        <w:t>/C</w:t>
      </w:r>
      <w:r w:rsidRPr="004443A9">
        <w:rPr>
          <w:vertAlign w:val="subscript"/>
        </w:rPr>
        <w:t>2+</w:t>
      </w:r>
      <w:r w:rsidRPr="004443A9">
        <w:t xml:space="preserve"> ratios (&gt;300), much higher than those of normal thermogenic gases in offshore shallow sediments (&lt;100), due to postgenetic processes during migration.</w:t>
      </w:r>
    </w:p>
    <w:p w:rsidR="00DB42FE" w:rsidRPr="004443A9" w:rsidRDefault="00DB42FE" w:rsidP="00616347">
      <w:pPr>
        <w:pStyle w:val="EndNoteBibliography"/>
        <w:spacing w:after="0"/>
        <w:ind w:left="360"/>
      </w:pPr>
      <w:r w:rsidRPr="004443A9">
        <w:t>The carbon isotopic fractionation (ε</w:t>
      </w:r>
      <w:r w:rsidRPr="004443A9">
        <w:rPr>
          <w:vertAlign w:val="subscript"/>
        </w:rPr>
        <w:t>c</w:t>
      </w:r>
      <w:r w:rsidRPr="004443A9">
        <w:t xml:space="preserve"> = δ</w:t>
      </w:r>
      <w:r w:rsidRPr="004443A9">
        <w:rPr>
          <w:vertAlign w:val="superscript"/>
        </w:rPr>
        <w:t>13</w:t>
      </w:r>
      <w:r w:rsidRPr="004443A9">
        <w:t>C</w:t>
      </w:r>
      <w:r w:rsidRPr="004443A9">
        <w:rPr>
          <w:vertAlign w:val="subscript"/>
        </w:rPr>
        <w:t>CO2</w:t>
      </w:r>
      <w:r w:rsidRPr="004443A9">
        <w:t xml:space="preserve"> - δ</w:t>
      </w:r>
      <w:r w:rsidRPr="004443A9">
        <w:rPr>
          <w:vertAlign w:val="superscript"/>
        </w:rPr>
        <w:t>13</w:t>
      </w:r>
      <w:r w:rsidRPr="004443A9">
        <w:t>C</w:t>
      </w:r>
      <w:r w:rsidRPr="004443A9">
        <w:rPr>
          <w:vertAlign w:val="subscript"/>
        </w:rPr>
        <w:t>CH4</w:t>
      </w:r>
      <w:r w:rsidRPr="004443A9">
        <w:t>) in HS samples of the background site and ARAON Mounds above the SMT are consistent with the biogenic gas range generated via microbial CO</w:t>
      </w:r>
      <w:r w:rsidRPr="004443A9">
        <w:rPr>
          <w:vertAlign w:val="subscript"/>
        </w:rPr>
        <w:t>2</w:t>
      </w:r>
      <w:r w:rsidRPr="004443A9">
        <w:t xml:space="preserve"> reduction. However, ε</w:t>
      </w:r>
      <w:r w:rsidRPr="004443A9">
        <w:rPr>
          <w:vertAlign w:val="subscript"/>
        </w:rPr>
        <w:t>c</w:t>
      </w:r>
      <w:r w:rsidRPr="004443A9">
        <w:t xml:space="preserve"> below the SMT is anomalously low (13–42‰) and is higher at the hydrate-bearing sites than at the nonhydrate-bearing sites. We postulate that this low ε</w:t>
      </w:r>
      <w:r w:rsidRPr="004443A9">
        <w:rPr>
          <w:vertAlign w:val="subscript"/>
        </w:rPr>
        <w:t>c</w:t>
      </w:r>
      <w:r w:rsidRPr="004443A9">
        <w:t xml:space="preserve"> is explained by the two-phase fluid transport model of Kim et al. (2012) and that gas hydrates highly influence this value. We suggest that ε</w:t>
      </w:r>
      <w:r w:rsidRPr="004443A9">
        <w:rPr>
          <w:vertAlign w:val="subscript"/>
        </w:rPr>
        <w:t>c</w:t>
      </w:r>
      <w:r w:rsidRPr="004443A9">
        <w:t xml:space="preserve"> can be used as a powerful geochemical proxy for the upward gas migration and gas hydrate occurrence in shallow marine sediment systems.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Klein, F., Tarnas, J.D., Bach, W., </w:t>
      </w:r>
      <w:r w:rsidR="00616347">
        <w:t xml:space="preserve">2020. </w:t>
      </w:r>
      <w:r w:rsidRPr="004443A9">
        <w:t>Abiotic sources of molecular hydrogen on Earth. Elements 16, 19-24.</w:t>
      </w:r>
    </w:p>
    <w:p w:rsidR="00DB42FE" w:rsidRPr="004443A9" w:rsidRDefault="00DB42FE" w:rsidP="00616347">
      <w:pPr>
        <w:pStyle w:val="EndNoteBibliography"/>
        <w:ind w:left="360"/>
      </w:pPr>
      <w:r w:rsidRPr="004443A9">
        <w:t>https://doi.org/10.2138/gselements.16.1.19</w:t>
      </w:r>
    </w:p>
    <w:p w:rsidR="00DB42FE" w:rsidRPr="004443A9" w:rsidRDefault="00DB42FE" w:rsidP="00616347">
      <w:pPr>
        <w:pStyle w:val="EndNoteBibliography"/>
        <w:spacing w:after="0"/>
        <w:ind w:left="360"/>
      </w:pPr>
      <w:r w:rsidRPr="004443A9">
        <w:t>The capacity for molecular hydrogen (H</w:t>
      </w:r>
      <w:r w:rsidRPr="004443A9">
        <w:rPr>
          <w:vertAlign w:val="subscript"/>
        </w:rPr>
        <w:t>2</w:t>
      </w:r>
      <w:r w:rsidRPr="004443A9">
        <w:t>) to hydrogenate oxygen and carbon is critical to the origin of life and represents the basis for all known life-forms. Major sources of H</w:t>
      </w:r>
      <w:r w:rsidRPr="004443A9">
        <w:rPr>
          <w:vertAlign w:val="subscript"/>
        </w:rPr>
        <w:t>2</w:t>
      </w:r>
      <w:r w:rsidRPr="004443A9">
        <w:t xml:space="preserve"> that strictly involve nonbiological processes and inorganic reactants include (1) the reduction of water during the oxidation of iron in minerals, (2) water splitting due to radioactive decay, (3) degassing of magma at low pressures, and (4) the reaction of water with surface radicals during mechanical breaking of silicate rocks. None of these processes seem to significantly affect the current global atmospheric budget of H</w:t>
      </w:r>
      <w:r w:rsidRPr="004443A9">
        <w:rPr>
          <w:vertAlign w:val="subscript"/>
        </w:rPr>
        <w:t>2</w:t>
      </w:r>
      <w:r w:rsidRPr="004443A9">
        <w:t>, yet there is substantial H</w:t>
      </w:r>
      <w:r w:rsidRPr="004443A9">
        <w:rPr>
          <w:vertAlign w:val="subscript"/>
        </w:rPr>
        <w:t>2</w:t>
      </w:r>
      <w:r w:rsidRPr="004443A9">
        <w:t xml:space="preserve"> cycling in a wide range of Earth’s subsurface environments, with multifaceted implications for microbial ecosystems.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Klerks, P.L., Kascak, A., Cazan, A.M., Franco, M.E., Louka, F.R., </w:t>
      </w:r>
      <w:r w:rsidR="00616347">
        <w:t xml:space="preserve">2020. </w:t>
      </w:r>
      <w:r w:rsidRPr="004443A9">
        <w:t>A mesocosm assessment of the effect of bioturbation by the ghost shrimp (</w:t>
      </w:r>
      <w:r w:rsidRPr="004443A9">
        <w:rPr>
          <w:i/>
        </w:rPr>
        <w:t>Lepidophthalmus louisianensis</w:t>
      </w:r>
      <w:r w:rsidRPr="004443A9">
        <w:t>) on the fate of petroleum hydrocarbons in the intertidal zone. Environmental Toxicology and Chemistry 39, 637-647.</w:t>
      </w:r>
    </w:p>
    <w:p w:rsidR="00DB42FE" w:rsidRPr="004443A9" w:rsidRDefault="00DB42FE" w:rsidP="00616347">
      <w:pPr>
        <w:pStyle w:val="EndNoteBibliography"/>
        <w:ind w:left="360"/>
      </w:pPr>
      <w:r w:rsidRPr="004443A9">
        <w:t>https://doi.org/10.1002/etc.4652</w:t>
      </w:r>
    </w:p>
    <w:p w:rsidR="00DB42FE" w:rsidRPr="004443A9" w:rsidRDefault="00DB42FE" w:rsidP="00616347">
      <w:pPr>
        <w:pStyle w:val="EndNoteBibliography"/>
        <w:spacing w:after="0"/>
        <w:ind w:left="360"/>
      </w:pPr>
      <w:r w:rsidRPr="004443A9">
        <w:t xml:space="preserve">To fully assess the long‐term impacts of oil spills like the 2010 </w:t>
      </w:r>
      <w:r w:rsidRPr="004443A9">
        <w:rPr>
          <w:i/>
        </w:rPr>
        <w:t>Deepwater Horizon</w:t>
      </w:r>
      <w:r w:rsidRPr="004443A9">
        <w:t xml:space="preserve"> incident in the northern Gulf of Mexico, the potential for organisms other than microbes to affect the fate and distribution of the oil may have to be considered. This influence could be substantial for abundant bioturbating benthic animals like the ghost shrimp </w:t>
      </w:r>
      <w:r w:rsidRPr="004443A9">
        <w:rPr>
          <w:i/>
        </w:rPr>
        <w:t>Lepidophthalmus louisianensis</w:t>
      </w:r>
      <w:r w:rsidRPr="004443A9">
        <w:t xml:space="preserve">. An assessment of the influence of these ghost shrimp on petroleum hydrocarbons was conducted in laboratory micro‐ and mesocosms containing coastal Gulf of Mexico sediment, seawater, and oil or the polynuclear aromatic hydrocarbon (PAH) pyrene. In an experiment with pyrene added to the water column, the ghost shrimp presence lowered water‐column pyrene concentrations. In an experiment with oil </w:t>
      </w:r>
      <w:r w:rsidRPr="004443A9">
        <w:lastRenderedPageBreak/>
        <w:t xml:space="preserve">added to the sediment surface, the ghost shrimp presence decreased PAH concentrations in the sediment surface layer but increased these in the water column and subsurface sediment. A companion study and a mass‐balance analysis indicated a net loss of PAHs through an enhancement of microbial degradation. In an experiment in which oil was added as a narrow subsurface layer in the sediment, the ghost shrimp presence appeared to broaden the oil's depth distribution. Taken together, these results demonstrate that ghost shrimp can significantly influence the biodegradation and distribution of spilled oil in coastal ecosystems. </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Klokočník, J., Kostelecký, J., Bezděk, A., Cílek, V., Kletetschka, G., Staňková, H., </w:t>
      </w:r>
      <w:r w:rsidR="00616347">
        <w:t xml:space="preserve">2020. </w:t>
      </w:r>
      <w:r w:rsidRPr="004443A9">
        <w:t>Support for two subglacial impact craters in northwest Greenland from Earth gravity model EIGEN 6C4 and other data. Tectonophysics 780, 228396.</w:t>
      </w:r>
    </w:p>
    <w:p w:rsidR="00DB42FE" w:rsidRPr="004443A9" w:rsidRDefault="00DB42FE" w:rsidP="00616347">
      <w:pPr>
        <w:pStyle w:val="EndNoteBibliography"/>
        <w:ind w:left="360"/>
      </w:pPr>
      <w:r w:rsidRPr="004443A9">
        <w:t>http://www.sciencedirect.com/science/article/pii/S0040195120300792</w:t>
      </w:r>
    </w:p>
    <w:p w:rsidR="00DB42FE" w:rsidRPr="004443A9" w:rsidRDefault="00DB42FE" w:rsidP="00616347">
      <w:pPr>
        <w:pStyle w:val="EndNoteBibliography"/>
        <w:spacing w:after="0"/>
        <w:ind w:left="360"/>
      </w:pPr>
      <w:r w:rsidRPr="004443A9">
        <w:t>We support the very recent discovery of two impact craters under the ice of northwest Greenland (Hiawatha Glacier and Paterson). These discoveries are based mainly on geology and bedrock topography. We added an analysis of gravity field aspects (descriptors) in addition to the traditional gravity and magnetic anomalies. The gravity aspects (the Marussi tensor of the second derivatives, the gravity invariants and their special ratio, strike angles and virtual deformations) provide more complex and comprehensive information about the underground density variations due to a causative body than ordinary gravity anomalies. They show signals typical for the individual geological features like a mountain/volcano, fault, (river)valley, (paleo)lake, (ground)water, hydrocarbon/mineral deposits, etc., as well as for the targets known as impact craters. Our method has been tested on various geological features on the Earth and the Moon. The gravity aspects are, in our case, derived from the recent global static combined Earth gravity field model EIGEN 6C4 with a ground resolution ~9 km and a precision ~10 mGal. A further data come from the digital magnetic field database EMAG 2 with resolution ~5 km. Our method is novel and independent of anything which led to discoveries of these craters in Greenland.</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Klunder, L., de Stigter, H., Lavaleye, M.S.S., van Bleijswijk, J.D.L., van der Veer, H.W., Reichart, G.-J., Duineveld, G.C.A., </w:t>
      </w:r>
      <w:r w:rsidR="00616347">
        <w:t xml:space="preserve">2020. </w:t>
      </w:r>
      <w:r w:rsidRPr="004443A9">
        <w:t>A molecular approach to explore the background benthic fauna around a hydrothermal vent and their larvae: Implications for future mining of deep-sea SMS deposits. Frontiers in Marine Science 7, 134. doi: 10.3389/fmars.2020.00134.</w:t>
      </w:r>
    </w:p>
    <w:p w:rsidR="00DB42FE" w:rsidRPr="004443A9" w:rsidRDefault="00DB42FE" w:rsidP="00616347">
      <w:pPr>
        <w:pStyle w:val="EndNoteBibliography"/>
        <w:ind w:left="360"/>
      </w:pPr>
      <w:r w:rsidRPr="004443A9">
        <w:t>https://www.frontiersin.org/article/10.3389/fmars.2020.00134</w:t>
      </w:r>
    </w:p>
    <w:p w:rsidR="00DB42FE" w:rsidRPr="004443A9" w:rsidRDefault="00DB42FE" w:rsidP="00616347">
      <w:pPr>
        <w:pStyle w:val="EndNoteBibliography"/>
        <w:spacing w:after="0"/>
        <w:ind w:left="360"/>
      </w:pPr>
      <w:r w:rsidRPr="004443A9">
        <w:t xml:space="preserve">Seafloor massive sulfide (SMS) deposits are commonly found at hydrothermal vents and recently gained the special interest of mining industries. These deposits contain valuable metals and methods are currently developed to mine deep sea SMS deposits. However, excavation of SMS deposits potentially pose a threat to benthic life at the mining site itself, and also in the surrounding environment with plumes of suspended sediment and fine-grained SMS debris created during deep sea mining activities being highlighted as one of the major threats to deep-sea benthic fauna. The benthic communities surrounding the vents are, however, poorly known. As they are often exposed to natural plumes studying such communities could provide valuable information on their resilience toward mining related plumes. The Rainbow hydrothermal vent site at the Mid-Atlantic Ridge is a site characterized by one of the largest continuous natural plumes, which is found persisting over an extensive area. Sediment and water samples were taken both upstream and downstream of the </w:t>
      </w:r>
      <w:r w:rsidRPr="004443A9">
        <w:lastRenderedPageBreak/>
        <w:t>Rainbow hydrothermal vent. Approximately 25 km away from the vent reference sites were samples as well. In addition to detecting the plume itself, concentrations of major and trace-metals in the sediments were used as tracers for long time sustained plume influence. At all sites, we assessed benthic species composition and detected larvae. Metabarcoding methods were used to determine species composition. Benthic species composition in the sediment was shown to differ between all locations and was highly influenced by the plume’s fall out. Arthropoda were more dominant closer to the vent whereas Annelida and Nematoda were more dominant at the reference locations. Conservation and restoration of all these communities after a deep sea mining event will be difficult due to the spatial variation of these benthic communities.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Koch, M., Becker, E., Päch, M., Kühn, S., Kirchhoff, E., </w:t>
      </w:r>
      <w:r w:rsidR="00616347">
        <w:t xml:space="preserve">2020. </w:t>
      </w:r>
      <w:r w:rsidRPr="004443A9">
        <w:t>Separation of the mineral oil aromatic hydrocarbons of three and more aromatic rings from those of one or two aromatic rings. Journal of Separation Science 43, 1089-1099.</w:t>
      </w:r>
    </w:p>
    <w:p w:rsidR="00DB42FE" w:rsidRPr="004443A9" w:rsidRDefault="00DB42FE" w:rsidP="00616347">
      <w:pPr>
        <w:pStyle w:val="EndNoteBibliography"/>
        <w:ind w:left="360"/>
      </w:pPr>
      <w:r w:rsidRPr="004443A9">
        <w:t>https://doi.org/10.1002/jssc.201900833</w:t>
      </w:r>
    </w:p>
    <w:p w:rsidR="00DB42FE" w:rsidRPr="004443A9" w:rsidRDefault="00DB42FE" w:rsidP="00616347">
      <w:pPr>
        <w:pStyle w:val="EndNoteBibliography"/>
        <w:spacing w:after="0"/>
        <w:ind w:left="360"/>
      </w:pPr>
      <w:r w:rsidRPr="004443A9">
        <w:t>Abstract An analytical method was developed for the quantitation of the mineral oil aromatic hydrocarbons in cosmetic raw materials separating those of one or two aromatic rings from those of three and more aromatic rings. Normal phase high performance liquid chromatography was used with donor-acceptor complex chromatography. The composition of both fractions and the quantities of respective compounds were determined by comprehensive two dimensional gas chromatography with time of flight mass spectrometry and by liquid chromatography coupled to gas chromatography with flame ionization detection.</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Kochetkova, T.V., Mardanov, A.V., Sokolova, T.G., Bonch-Osmolovskaya, E.A., Kublanov, I.V., Kevbrin, V.V., Beletsky, A.V., Ravin, N.V., Lebedinsky, A.V., </w:t>
      </w:r>
      <w:r w:rsidR="00616347">
        <w:t xml:space="preserve">2020. </w:t>
      </w:r>
      <w:r w:rsidRPr="004443A9">
        <w:t>The first crenarchaeon capable of growth by anaerobic carbon monoxide oxidation coupled with H</w:t>
      </w:r>
      <w:r w:rsidRPr="004443A9">
        <w:rPr>
          <w:vertAlign w:val="subscript"/>
        </w:rPr>
        <w:t>2</w:t>
      </w:r>
      <w:r w:rsidRPr="004443A9">
        <w:t xml:space="preserve"> production. Systematic and Applied Microbiology 43, 126064.</w:t>
      </w:r>
    </w:p>
    <w:p w:rsidR="00DB42FE" w:rsidRPr="004443A9" w:rsidRDefault="00DB42FE" w:rsidP="00616347">
      <w:pPr>
        <w:pStyle w:val="EndNoteBibliography"/>
        <w:ind w:left="360"/>
      </w:pPr>
      <w:r w:rsidRPr="004443A9">
        <w:t>http://www.sciencedirect.com/science/article/pii/S0723202020300126</w:t>
      </w:r>
    </w:p>
    <w:p w:rsidR="00DB42FE" w:rsidRPr="004443A9" w:rsidRDefault="00DB42FE" w:rsidP="00616347">
      <w:pPr>
        <w:pStyle w:val="EndNoteBibliography"/>
        <w:spacing w:after="0"/>
        <w:ind w:left="360"/>
      </w:pPr>
      <w:r w:rsidRPr="004443A9">
        <w:t>The ability to grow by anaerobic CO oxidation with production of H</w:t>
      </w:r>
      <w:r w:rsidRPr="004443A9">
        <w:rPr>
          <w:vertAlign w:val="subscript"/>
        </w:rPr>
        <w:t>2</w:t>
      </w:r>
      <w:r w:rsidRPr="004443A9">
        <w:t xml:space="preserve"> from water is known for some thermophilic bacteria, most of which belong to </w:t>
      </w:r>
      <w:r w:rsidRPr="004443A9">
        <w:rPr>
          <w:i/>
        </w:rPr>
        <w:t>Firmicutes</w:t>
      </w:r>
      <w:r w:rsidRPr="004443A9">
        <w:t xml:space="preserve">, as well as for a few hyperthermophilic </w:t>
      </w:r>
      <w:r w:rsidRPr="004443A9">
        <w:rPr>
          <w:i/>
        </w:rPr>
        <w:t>Euryarchaeota</w:t>
      </w:r>
      <w:r w:rsidRPr="004443A9">
        <w:t xml:space="preserve"> isolated from deep-sea hydrothermal habitats. A hyperthermophilic, neutrophilic, anaerobic filamentous archaeon strain 1505 = VKM B-3180 = KCTC 15798 was isolated from a terrestrial hot spring in Kamchatka (Russia) in the presence of 30% CO in the gas phase. Strain 1505 could grow lithotrophically using carbon monoxide as the energy source with the production of hydrogen according to the equation CO + H</w:t>
      </w:r>
      <w:r w:rsidRPr="004443A9">
        <w:rPr>
          <w:vertAlign w:val="subscript"/>
        </w:rPr>
        <w:t>2</w:t>
      </w:r>
      <w:r w:rsidRPr="004443A9">
        <w:t>O → CO</w:t>
      </w:r>
      <w:r w:rsidRPr="004443A9">
        <w:rPr>
          <w:vertAlign w:val="subscript"/>
        </w:rPr>
        <w:t>2</w:t>
      </w:r>
      <w:r w:rsidRPr="004443A9">
        <w:t xml:space="preserve"> + H</w:t>
      </w:r>
      <w:r w:rsidRPr="004443A9">
        <w:rPr>
          <w:vertAlign w:val="subscript"/>
        </w:rPr>
        <w:t>2</w:t>
      </w:r>
      <w:r w:rsidRPr="004443A9">
        <w:t xml:space="preserve">; mixotrophically on CO plus glucose; and organotrophically on peptone, yeast extract, glucose, sucrose, or Avicel. The genome of strain 1505 was sequenced and assembled into a single chromosome. Based on 16S rRNA gene sequence analysis and </w:t>
      </w:r>
      <w:r w:rsidRPr="004443A9">
        <w:rPr>
          <w:i/>
        </w:rPr>
        <w:t>in silico</w:t>
      </w:r>
      <w:r w:rsidRPr="004443A9">
        <w:t xml:space="preserve"> genome-genome hybridization, this organism was shown to be closely related to the </w:t>
      </w:r>
      <w:r w:rsidRPr="004443A9">
        <w:rPr>
          <w:i/>
        </w:rPr>
        <w:t>Thermofilum adornatum</w:t>
      </w:r>
      <w:r w:rsidRPr="004443A9">
        <w:t xml:space="preserve"> species. In the genome of </w:t>
      </w:r>
      <w:r w:rsidRPr="004443A9">
        <w:rPr>
          <w:i/>
        </w:rPr>
        <w:t>Thermofilum</w:t>
      </w:r>
      <w:r w:rsidRPr="004443A9">
        <w:t xml:space="preserve"> sp. strain 1505, a gene cluster (TCARB_0867-TCARB_0879) was found that included genes of anaerobic (Ni,Fe-containing) carbon monoxide dehydrogenase and genes of energy-converting hydrogenase ([Ni,Fe]-CODH–ECH gene cluster). Compared to the [Ni,Fe]-CODH–ECH gene clusters occurring in the sequenced genomes of other H</w:t>
      </w:r>
      <w:r w:rsidRPr="004443A9">
        <w:rPr>
          <w:vertAlign w:val="subscript"/>
        </w:rPr>
        <w:t>2</w:t>
      </w:r>
      <w:r w:rsidRPr="004443A9">
        <w:t xml:space="preserve">-producing carboxydotrophs, the [Ni,Fe]-CODH–ECH gene cluster of </w:t>
      </w:r>
      <w:r w:rsidRPr="004443A9">
        <w:rPr>
          <w:i/>
        </w:rPr>
        <w:t>Thermofilum</w:t>
      </w:r>
      <w:r w:rsidRPr="004443A9">
        <w:t xml:space="preserve"> sp. strain 1505 presented a novel type of gene organization. The results of the study </w:t>
      </w:r>
      <w:r w:rsidRPr="004443A9">
        <w:lastRenderedPageBreak/>
        <w:t>provided the first evidence of anaerobic CO oxidation coupled with H</w:t>
      </w:r>
      <w:r w:rsidRPr="004443A9">
        <w:rPr>
          <w:vertAlign w:val="subscript"/>
        </w:rPr>
        <w:t>2</w:t>
      </w:r>
      <w:r w:rsidRPr="004443A9">
        <w:t xml:space="preserve"> production performed by a crenarchaeon, as well as the first documented case of lithotrophic growth of a </w:t>
      </w:r>
      <w:r w:rsidRPr="004443A9">
        <w:rPr>
          <w:i/>
        </w:rPr>
        <w:t>Thermofilaceae</w:t>
      </w:r>
      <w:r w:rsidRPr="004443A9">
        <w:t xml:space="preserve"> representative.</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Kohl, K.D., </w:t>
      </w:r>
      <w:r w:rsidR="00616347">
        <w:t xml:space="preserve">2020. </w:t>
      </w:r>
      <w:r w:rsidRPr="004443A9">
        <w:t>Ecological and evolutionary mechanisms underlying patterns of phylosymbiosis in host-associated microbial communities. Philosophical Transactions of the Royal Society B: Biological Sciences 375, 20190251.</w:t>
      </w:r>
    </w:p>
    <w:p w:rsidR="00DB42FE" w:rsidRPr="004443A9" w:rsidRDefault="00DB42FE" w:rsidP="00616347">
      <w:pPr>
        <w:pStyle w:val="EndNoteBibliography"/>
        <w:ind w:left="360"/>
      </w:pPr>
      <w:r w:rsidRPr="004443A9">
        <w:t>https://doi.org/10.1098/rstb.2019.0251</w:t>
      </w:r>
    </w:p>
    <w:p w:rsidR="00DB42FE" w:rsidRPr="004443A9" w:rsidRDefault="00DB42FE" w:rsidP="00616347">
      <w:pPr>
        <w:pStyle w:val="EndNoteBibliography"/>
        <w:spacing w:after="0"/>
        <w:ind w:left="360"/>
      </w:pPr>
      <w:r w:rsidRPr="004443A9">
        <w:t>Phylosymbiosis, where similarities in host-associated microbial communities recapitulate the phylogeny of their hosts, is a newly recognized yet pervasive pattern in the field of host–microbe interactions. While phylosymbiosis has been documented across many systems, we still have a poor understanding of the mechanisms that underlie this emergent pattern. Host selection of the microbiome is a widely cited mechanism, yet other basic ecological and evolutionary processes (dispersal, drift and diversification) may also be at play. This paper discusses the roles that each of these processes and their interactions may play in yielding phylosymbiotic signals across hosts. Finally, this paper will identify open questions and methods that are required to better understand the relative contributions of these basic processes to phylosymbiosis. Given that phylosymbiosis has been shown to relate to functional components of host fitness, understanding the processes that contribute to these patterns will be important for our understanding of the ecology and evolution of host–microbe interactions.</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Koryakina, V.V., Ivanova, I.K., Semenov, M.E., </w:t>
      </w:r>
      <w:r w:rsidR="00616347">
        <w:t xml:space="preserve">2020. </w:t>
      </w:r>
      <w:r w:rsidRPr="004443A9">
        <w:t>Kinetics features of natural gas hydrates crystallisation and dissociation in water/crude oil and water/asphaltene-resin-paraffin deposit emulsions. International Journal of Oil, Gas and Coal Technology 23, 169-185.</w:t>
      </w:r>
    </w:p>
    <w:p w:rsidR="00DB42FE" w:rsidRPr="004443A9" w:rsidRDefault="00DB42FE" w:rsidP="00616347">
      <w:pPr>
        <w:pStyle w:val="EndNoteBibliography"/>
        <w:ind w:left="360"/>
      </w:pPr>
      <w:r w:rsidRPr="004443A9">
        <w:t xml:space="preserve">https://doi.org/10.1504/IJOGCT.2020.105453 </w:t>
      </w:r>
    </w:p>
    <w:p w:rsidR="00DB42FE" w:rsidRPr="004443A9" w:rsidRDefault="00DB42FE" w:rsidP="00616347">
      <w:pPr>
        <w:pStyle w:val="EndNoteBibliography"/>
        <w:spacing w:after="0"/>
        <w:ind w:left="360"/>
      </w:pPr>
      <w:r w:rsidRPr="004443A9">
        <w:t>The crystallisation and dissociation of natural gas hydrates synthesised in paraffin oil emulsions of the Irelyakh deposit (Eastern Siberia) and in emulsions of asphaltene-resin-paraffin deposits (ARPDs) originated from this oil have been studied with application of high-pressure differential scanning calorimetry (HP DSC). Crystallisation of hydrate-containing phase in the water-in-ARPD (W/ARPD) emulsions with formation of natural gas hydrates enriched with methane and ethane has been defined to proceed much slower than the rate of formation and composition of hydrates formed in water-in-oil (W/O) emulsions. The hydrates grow better in emulsified water droplets than in bulk water, while the hydrate content decreases with increase of water cut in W/O emulsion, and a slower rate of hydrate formation in the W/ARPD emulsion, as compared with W/O emulsion, leads to a greater conversion of water droplets into hydrate phase. It has been shown that more stable hydrates are formed in W/ARPD.</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Kozowyk, P.R.B., Langejans, G.H.J., Dusseldorp, G.L., Niekus, M.J.L.T., </w:t>
      </w:r>
      <w:r w:rsidR="00616347">
        <w:t xml:space="preserve">2020. </w:t>
      </w:r>
      <w:r w:rsidRPr="004443A9">
        <w:t>Reply to Schmidt et al.: Interpretation of Paleolithic adhesive production: Combining experimental and paleoenvironmental information. Proceedings of the National Academy of Sciences 117, 4458-4459.</w:t>
      </w:r>
    </w:p>
    <w:p w:rsidR="00DB42FE" w:rsidRPr="004443A9" w:rsidRDefault="00DB42FE" w:rsidP="00616347">
      <w:pPr>
        <w:pStyle w:val="EndNoteBibliography"/>
        <w:ind w:left="360"/>
      </w:pPr>
      <w:r w:rsidRPr="004443A9">
        <w:t>https://doi.org/10.1073/pnas.1920933117</w:t>
      </w:r>
    </w:p>
    <w:p w:rsidR="00DB42FE" w:rsidRPr="004443A9" w:rsidRDefault="00DB42FE" w:rsidP="00616347">
      <w:pPr>
        <w:pStyle w:val="EndNoteBibliography"/>
        <w:ind w:left="360"/>
      </w:pPr>
      <w:r w:rsidRPr="004443A9">
        <w:lastRenderedPageBreak/>
        <w:t>We agree with Schmidt et al. (1) that simple tar manufacturing processes exist. Tar could have been (re)discovered accidentally (2), and we do not exclude the use of condensation (3) by Neandertals. However, we think it is not the most parsimonious interpretation of all tar finds. Based on (regional) archeological and paleoenvironmental data, we suggest more efficient methods of tar production were used in the Zandmotor case (4). We will further address our reasoning.</w:t>
      </w:r>
    </w:p>
    <w:p w:rsidR="00DB42FE" w:rsidRPr="004443A9" w:rsidRDefault="00DB42FE" w:rsidP="00616347">
      <w:pPr>
        <w:pStyle w:val="EndNoteBibliography"/>
        <w:ind w:left="360"/>
      </w:pPr>
      <w:r w:rsidRPr="004443A9">
        <w:t>Original article: Niekus, M.J.L.T., Kozowyk, P.R.B., Langejans, G.H.J., Ngan-Tillard, D., van Keulen, H., van der Plicht, J., Cohen, K.M., van Wingerden, W., van Os, B., Smit, B.I., Amkreutz, L.W.S.W., Johansen, L., Verbaas, A., Dusseldorp, G.L., 2019. Middle Paleolithic complex technology and a Neandertal tar-backed tool from the Dutch North Sea. Proceedings of the National Academy of Sciences 116, 22081-22087.</w:t>
      </w:r>
    </w:p>
    <w:p w:rsidR="00DB42FE" w:rsidRPr="004443A9" w:rsidRDefault="00DB42FE" w:rsidP="00616347">
      <w:pPr>
        <w:pStyle w:val="EndNoteBibliography"/>
        <w:spacing w:after="0"/>
        <w:ind w:left="360" w:hanging="360"/>
      </w:pPr>
      <w:r w:rsidRPr="004443A9">
        <w:t xml:space="preserve">Commented on by:  Schmidt, P., Rageot, M., Blessing, M., Tennie, C., </w:t>
      </w:r>
      <w:r w:rsidR="00616347">
        <w:t xml:space="preserve">2020. </w:t>
      </w:r>
      <w:r w:rsidRPr="004443A9">
        <w:t>The Zandmotor data do not resolve the question whether Middle Paleolithic birch tar making was complex or not. Proceedings of the National Academy of Sciences 117(9), 4456-4457</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Krajewska, M., Szymczak-Żyła, M., Tylmann, W., Kowalewska, G., </w:t>
      </w:r>
      <w:r w:rsidR="00616347">
        <w:t xml:space="preserve">2020. </w:t>
      </w:r>
      <w:r w:rsidRPr="004443A9">
        <w:t>Climate change impact on primary production and phytoplankton taxonomy in Western Spitsbergen fjords based on pigments in sediments. Global and Planetary Change 189, 103158.</w:t>
      </w:r>
    </w:p>
    <w:p w:rsidR="00DB42FE" w:rsidRPr="004443A9" w:rsidRDefault="00DB42FE" w:rsidP="00616347">
      <w:pPr>
        <w:pStyle w:val="EndNoteBibliography"/>
        <w:ind w:left="360"/>
      </w:pPr>
      <w:r w:rsidRPr="004443A9">
        <w:t>http://www.sciencedirect.com/science/article/pii/S0921818120300497</w:t>
      </w:r>
    </w:p>
    <w:p w:rsidR="00DB42FE" w:rsidRPr="004443A9" w:rsidRDefault="00DB42FE" w:rsidP="00616347">
      <w:pPr>
        <w:pStyle w:val="EndNoteBibliography"/>
        <w:spacing w:after="0"/>
        <w:ind w:left="360"/>
      </w:pPr>
      <w:r w:rsidRPr="004443A9">
        <w:t>Arctic climate changes are of global significance. This work investigates the influence of climate change on primary production and phytoplankton taxonomic composition in the western Spitsbergen fjords over the last century, using pigments in sediments. Nine sediment cores were analysed for chloropigment and carotenoid contents, and the five found to be richest in pigments were dated (</w:t>
      </w:r>
      <w:r w:rsidRPr="004443A9">
        <w:rPr>
          <w:vertAlign w:val="superscript"/>
        </w:rPr>
        <w:t>210</w:t>
      </w:r>
      <w:r w:rsidRPr="004443A9">
        <w:t xml:space="preserve">Pb, </w:t>
      </w:r>
      <w:r w:rsidRPr="004443A9">
        <w:rPr>
          <w:vertAlign w:val="superscript"/>
        </w:rPr>
        <w:t>137</w:t>
      </w:r>
      <w:r w:rsidRPr="004443A9">
        <w:t>Cs) and analysed for additional parameters (C</w:t>
      </w:r>
      <w:r w:rsidRPr="004443A9">
        <w:rPr>
          <w:vertAlign w:val="subscript"/>
        </w:rPr>
        <w:t>org</w:t>
      </w:r>
      <w:r w:rsidRPr="004443A9">
        <w:t>, N</w:t>
      </w:r>
      <w:r w:rsidRPr="004443A9">
        <w:rPr>
          <w:vertAlign w:val="subscript"/>
        </w:rPr>
        <w:t>tot</w:t>
      </w:r>
      <w:r w:rsidRPr="004443A9">
        <w:t>, δ</w:t>
      </w:r>
      <w:r w:rsidRPr="004443A9">
        <w:rPr>
          <w:vertAlign w:val="superscript"/>
        </w:rPr>
        <w:t>13</w:t>
      </w:r>
      <w:r w:rsidRPr="004443A9">
        <w:t>C, grain size). The three well-dated cores, representing the last 70–130 y, were selected for tracking primary production and phytoplankton taxonomy changes in the past. The sum of chloropigments-a (∑Chlns-a) in the undisturbed sediments is a good marker of primary production in the adjacent Spitsbergen fjord waters. The sum of 19′-hexanoyloxyfucoxanthin and 19′-hexanoyloxy-4-ketofucoxanthin to diatoxanthin ratio (∑Hexcs/Diato) in sediments is proposed as a proxy of changes in haptophytes to diatom and dinoflagellate proportions, connected with climate variability. ∑Chlns-a and ∑Hexcs/Diato ratio sediment profiles have shown that the impact of global warming on primary production and phytoplankton taxonomic composition is observed even in the north of Spitsbergen. In the most northern studied site, Raudfjorden, visible effects of warming started about a decade later than in Kongsfjorden. Recent high primary production in Kongsfjorden and Raudfjorden is related to a high proportion of haptophytes compared to diatoms and dinoflagellates, linked to warm Atlantic Water inflow. In Hornsund, primary production was also observed to have increased, but not as rapidly as at other sites, probably due to a greater influence of cold Arctic Water.</w:t>
      </w:r>
    </w:p>
    <w:p w:rsidR="00DB42FE" w:rsidRPr="004443A9" w:rsidRDefault="00DB42FE" w:rsidP="00616347">
      <w:pPr>
        <w:pStyle w:val="EndNoteBibliography"/>
        <w:ind w:left="360"/>
      </w:pPr>
    </w:p>
    <w:p w:rsidR="00DB42FE" w:rsidRPr="004443A9" w:rsidRDefault="00DB42FE" w:rsidP="00616347">
      <w:pPr>
        <w:pStyle w:val="EndNoteBibliography"/>
        <w:ind w:left="360" w:hanging="360"/>
      </w:pPr>
      <w:r w:rsidRPr="004443A9">
        <w:t xml:space="preserve">LaBrie, R., Lapierre, J.-F., Maranger, R., </w:t>
      </w:r>
      <w:r w:rsidR="00616347">
        <w:t xml:space="preserve">2020. </w:t>
      </w:r>
      <w:r w:rsidRPr="004443A9">
        <w:t>Contrasting patterns of labile and semilabile dissolved organic carbon from continental waters to the open ocean. Journal of Geophysical Research: Biogeosciences 125, e2019JG005300.</w:t>
      </w:r>
    </w:p>
    <w:p w:rsidR="00DB42FE" w:rsidRPr="004443A9" w:rsidRDefault="00DB42FE" w:rsidP="00616347">
      <w:pPr>
        <w:pStyle w:val="EndNoteBibliography"/>
        <w:ind w:left="360"/>
      </w:pPr>
      <w:r w:rsidRPr="004443A9">
        <w:t>https://doi.org/10.1029/2019JG005300</w:t>
      </w:r>
    </w:p>
    <w:p w:rsidR="00DB42FE" w:rsidRPr="004443A9" w:rsidRDefault="00DB42FE" w:rsidP="00616347">
      <w:pPr>
        <w:pStyle w:val="EndNoteBibliography"/>
        <w:ind w:left="360"/>
      </w:pPr>
      <w:r w:rsidRPr="004443A9">
        <w:lastRenderedPageBreak/>
        <w:t>Abstract: Marine and freshwater prokaryotes feed primarily on bioavailable labile dissolved organic carbon (BDOC</w:t>
      </w:r>
      <w:r w:rsidRPr="004443A9">
        <w:rPr>
          <w:vertAlign w:val="subscript"/>
        </w:rPr>
        <w:t>L</w:t>
      </w:r>
      <w:r w:rsidRPr="004443A9">
        <w:t>), as well as the bioavailable fraction of the semilabile DOC (BDOC</w:t>
      </w:r>
      <w:r w:rsidRPr="004443A9">
        <w:rPr>
          <w:vertAlign w:val="subscript"/>
        </w:rPr>
        <w:t>SL</w:t>
      </w:r>
      <w:r w:rsidRPr="004443A9">
        <w:t>) pool. These fractions are operationally defined here as the DOC consumed within a month and greater than a month to a year and a half, respectively. Organic matter from these different pools comes from various autochthonous and allochthonous sources, but their relative bioavailability is unknown across aquatic ecosystems. To fill this gap, we compiled literature information that included 653 batch culture DOC biodegradation experiments across eight aquatic ecosystem types over the past 20 years. We show that the proportion of BDOC</w:t>
      </w:r>
      <w:r w:rsidRPr="004443A9">
        <w:rPr>
          <w:vertAlign w:val="subscript"/>
        </w:rPr>
        <w:t>L</w:t>
      </w:r>
      <w:r w:rsidRPr="004443A9">
        <w:t xml:space="preserve"> across all aquatic ecosystems was surprisingly consistent (6.1%) despite a 2 order of magnitude variation in initial DOC concentrations, suggesting an overall tight balance between carbon supply and consumption. A higher proportion of BDOC</w:t>
      </w:r>
      <w:r w:rsidRPr="004443A9">
        <w:rPr>
          <w:vertAlign w:val="subscript"/>
        </w:rPr>
        <w:t>L</w:t>
      </w:r>
      <w:r w:rsidRPr="004443A9">
        <w:t>, 16.3% on average, was observed in high productivity ecosystems. BDOC</w:t>
      </w:r>
      <w:r w:rsidRPr="004443A9">
        <w:rPr>
          <w:vertAlign w:val="subscript"/>
        </w:rPr>
        <w:t>SL</w:t>
      </w:r>
      <w:r w:rsidRPr="004443A9">
        <w:t>, on the other hand, gradually decreased from 16.0% in lakes to 7.2% in estuaries to undetectable in the open ocean, suggesting that terrestrial connectivity regulates BDOC</w:t>
      </w:r>
      <w:r w:rsidRPr="004443A9">
        <w:rPr>
          <w:vertAlign w:val="subscript"/>
        </w:rPr>
        <w:t>SL</w:t>
      </w:r>
      <w:r w:rsidRPr="004443A9">
        <w:t xml:space="preserve"> across the continuum. Our results support that recent primary production fuels short‐term prokaryotic DOC needs with an increasing reliance on the abundant BDOC</w:t>
      </w:r>
      <w:r w:rsidRPr="004443A9">
        <w:rPr>
          <w:vertAlign w:val="subscript"/>
        </w:rPr>
        <w:t>SL</w:t>
      </w:r>
      <w:r w:rsidRPr="004443A9">
        <w:t xml:space="preserve"> pool as ecosystems approach the land‐water interface. Batch culture experiments show that BDOC</w:t>
      </w:r>
      <w:r w:rsidRPr="004443A9">
        <w:rPr>
          <w:vertAlign w:val="subscript"/>
        </w:rPr>
        <w:t>SL</w:t>
      </w:r>
      <w:r w:rsidRPr="004443A9">
        <w:t xml:space="preserve"> is metabolizable in freshwater and coastal environments but not in the open ocean. We estimate that BDOC</w:t>
      </w:r>
      <w:r w:rsidRPr="004443A9">
        <w:rPr>
          <w:vertAlign w:val="subscript"/>
        </w:rPr>
        <w:t>SL</w:t>
      </w:r>
      <w:r w:rsidRPr="004443A9">
        <w:t xml:space="preserve"> can sustain 62% of total prokaryotic biomass in inland waters and coasts and an estimated total of 16.7% across aquatic biomes.</w:t>
      </w:r>
    </w:p>
    <w:p w:rsidR="00DB42FE" w:rsidRPr="004443A9" w:rsidRDefault="00DB42FE" w:rsidP="00616347">
      <w:pPr>
        <w:pStyle w:val="EndNoteBibliography"/>
        <w:ind w:left="360"/>
      </w:pPr>
      <w:r w:rsidRPr="004443A9">
        <w:t>Plain Language Summary: Bacteria are the most abundant organisms in lakes, coasts, and oceans outweighing all the whales living in the ocean! But what do they consume? Bacteria eat organic carbon dissolved in water, but not all carbon compounds are equally easy to eat. Our aim was to understand the amount of carbon bacteria eat and how well different organic carbon sources support bacteria across lakes, coasts, and oceans. We found that the relative amount of readily available carbon to support bacteria is the same no matter what aquatic ecosystems they live in. It is also less than what was previously thought. Second, the more an aquatic ecosystem is connected to land, the more carbon was available since some of it comes from soils, but it takes over a month for it to be consumed. Therefore, the more connected to land the aquatic ecosystem is, like a lake, the more the bacteria can rely on that additional terrestrial source of food. Surface bacteria of the open ocean appear to rely solely on readily available, locally produced organic matter (carbon), whereas bacteria from lakes and coasts have access to both readily available and partially decomposed organic matter from local production and terrestrial resources.</w:t>
      </w:r>
    </w:p>
    <w:p w:rsidR="00DB42FE" w:rsidRDefault="00DB42FE" w:rsidP="00616347">
      <w:pPr>
        <w:ind w:left="360"/>
      </w:pPr>
    </w:p>
    <w:p w:rsidR="00DB42FE" w:rsidRPr="003532DF" w:rsidRDefault="00DB42FE" w:rsidP="00616347">
      <w:pPr>
        <w:pStyle w:val="EndNoteBibliography"/>
        <w:ind w:left="360" w:hanging="360"/>
      </w:pPr>
      <w:r w:rsidRPr="003532DF">
        <w:t xml:space="preserve">LaGrange, M.T., Konhauser, K.O., Catuneanu, O., Harris, B.S., Playter, T.L., Gingras, M.K., </w:t>
      </w:r>
      <w:r w:rsidR="00616347">
        <w:t xml:space="preserve">2020. </w:t>
      </w:r>
      <w:r w:rsidRPr="003532DF">
        <w:t>Sequence stratigraphy in organic-rich marine mudstone successions using chemostratigraphic datasets. Earth-Science Reviews 203, 103137.</w:t>
      </w:r>
    </w:p>
    <w:p w:rsidR="00DB42FE" w:rsidRPr="003532DF" w:rsidRDefault="00DB42FE" w:rsidP="00616347">
      <w:pPr>
        <w:pStyle w:val="EndNoteBibliography"/>
        <w:ind w:left="360"/>
      </w:pPr>
      <w:r w:rsidRPr="003532DF">
        <w:t>http://www.sciencedirect.com/science/article/pii/S0012825219304416</w:t>
      </w:r>
    </w:p>
    <w:p w:rsidR="00DB42FE" w:rsidRPr="003532DF" w:rsidRDefault="00DB42FE" w:rsidP="00616347">
      <w:pPr>
        <w:pStyle w:val="EndNoteBibliography"/>
        <w:spacing w:after="0"/>
        <w:ind w:left="360"/>
      </w:pPr>
      <w:r w:rsidRPr="003532DF">
        <w:t xml:space="preserve">Sequence stratigraphy is commonly used to understand basin history and the distribution of conventional reservoir facies. Establishing a sequence stratigraphic framework in organic-rich mudstone successions is challenging because macroscale sedimentological and petrophysical variations can be subtle, while biostratigraphic and seismic data may be unavailable or of limited use. For these reasons, it is becoming increasingly common for chemostratigraphic profiles to be integrated with other datasets to facilitate sequence stratigraphic interpretation. This paper summarizes the whole-rock inorganic geochemical proxies relevant to sequence stratigraphic analysis in fine-grained, organic-rich marine units and reviews studies that have incorporated </w:t>
      </w:r>
      <w:r w:rsidRPr="003532DF">
        <w:lastRenderedPageBreak/>
        <w:t>chemostratigraphic trends for sequence stratigraphy. This synthesis demonstrates that chemostratigraphic datasets are useful in identification of transgressive-regressive cycles, allowing for a preliminary summary of the chemostratigraphic characteristics of the maximum flooding surface, maximum regressive surface, transgressive systems tract, and regressive systems tract to be established based on existing work. A preliminary synthesis of the chemostratigraphic characteristics of the highstand systems tract is also possible for highstand systems tracts recognized using other criteria. However, a chemostratigraphic means of identifying the correlative conformity and basal surface of forced regression in order to subdivide the regressive systems tract into the lowstand systems tract, falling-stage systems tract, and highstand systems has not yet been demonstrated. Further work is also required in order to establish the differences in the chemostratigraphic signature of surfaces and systems tract depending on the depositional setting. Chemostratigraphic proxies are an emergent and promising tool for the identification of cyclicity in organic-rich mudstone intervals, which will become increasingly useful as further research is conducted on the topic.</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Lamprecht-Grandío, M., Cortesão, M., Mirete, S., de la Cámara, M.B., de Figueras, C.G., Pérez-Pantoja, D., White, J.J., Farías, M.E., Rosselló-Móra, R., González-Pastor, J.E., </w:t>
      </w:r>
      <w:r w:rsidR="00616347">
        <w:t xml:space="preserve">2020. </w:t>
      </w:r>
      <w:r w:rsidRPr="003532DF">
        <w:t>Novel genes involved in resistance to both ultraviolet radiation and perchlorate from the metagenomes of hypersaline environments. Frontiers in Microbiology 11, 453. doi: 10.3389/fmicb.2020.00453.</w:t>
      </w:r>
    </w:p>
    <w:p w:rsidR="00DB42FE" w:rsidRPr="003532DF" w:rsidRDefault="00DB42FE" w:rsidP="00616347">
      <w:pPr>
        <w:pStyle w:val="EndNoteBibliography"/>
        <w:ind w:left="360"/>
      </w:pPr>
      <w:r w:rsidRPr="003532DF">
        <w:t>https://www.frontiersin.org/article/10.3389/fmicb.2020.00453</w:t>
      </w:r>
    </w:p>
    <w:p w:rsidR="00DB42FE" w:rsidRPr="003532DF" w:rsidRDefault="00DB42FE" w:rsidP="00616347">
      <w:pPr>
        <w:pStyle w:val="EndNoteBibliography"/>
        <w:spacing w:after="0"/>
        <w:ind w:left="360"/>
      </w:pPr>
      <w:r w:rsidRPr="003532DF">
        <w:t xml:space="preserve">Microorganisms that thrive in hypersaline environments on the surface of our planet are exposed to the harmful effects of ultraviolet radiation. Therefore, for their protection, they have sunscreen pigments and highly efficient DNA repair and protection systems. The present study aimed to identify new genes involved in UV radiation resistance from these microorganisms, many of which cannot be cultured in the laboratory. Thus, a functional metagenomic approach was used and for this, small-insert libraries were constructed with DNA isolated from microorganisms of high-altitude Andean hypersaline lakes in Argentina (Diamante and Ojo Seco lakes, 4,589 and 3,200 m, respectively) and from the Es Trenc solar saltern in Spain. The libraries were hosted in a UV radiation-sensitive strain of </w:t>
      </w:r>
      <w:r w:rsidRPr="003532DF">
        <w:rPr>
          <w:i/>
        </w:rPr>
        <w:t>Escherichia coli</w:t>
      </w:r>
      <w:r w:rsidRPr="003532DF">
        <w:t xml:space="preserve"> (</w:t>
      </w:r>
      <w:r w:rsidRPr="003532DF">
        <w:rPr>
          <w:i/>
        </w:rPr>
        <w:t>recA</w:t>
      </w:r>
      <w:r w:rsidRPr="003532DF">
        <w:t xml:space="preserve"> mutant) and they were exposed to UVB. The resistant colonies were analyzed and as a result, four clones were identified with environmental DNA fragments containing five genes that conferred resistance to UV radiation in </w:t>
      </w:r>
      <w:r w:rsidRPr="003532DF">
        <w:rPr>
          <w:i/>
        </w:rPr>
        <w:t>E. coli</w:t>
      </w:r>
      <w:r w:rsidRPr="003532DF">
        <w:t xml:space="preserve">. One gene encoded a RecA-like protein, complementing the mutation in </w:t>
      </w:r>
      <w:r w:rsidRPr="003532DF">
        <w:rPr>
          <w:i/>
        </w:rPr>
        <w:t>recA</w:t>
      </w:r>
      <w:r w:rsidRPr="003532DF">
        <w:t xml:space="preserve"> that makes the </w:t>
      </w:r>
      <w:r w:rsidRPr="003532DF">
        <w:rPr>
          <w:i/>
        </w:rPr>
        <w:t>E. coli</w:t>
      </w:r>
      <w:r w:rsidRPr="003532DF">
        <w:t xml:space="preserve"> host strain more sensitive to UV radiation. Two other genes from the same DNA fragment encoded a TATA-box binding protein and an unknown protein, both responsible for UV resistance. Interestingly, two other genes from different and remote environments, the Ojo Seco Andean lake and the Es Trenc saltern, encoded two hypothetical proteins that can be considered homologous based on their significant amino acid similarity (49%). All of these genes also conferred resistance to 4-nitroquinoline 1-oxide (4-NQO), a compound that mimics the effect of UV radiation on DNA, and also to perchlorate, a powerful oxidant that can induce DNA damage. Furthermore, the hypothetical protein from the Es Trenc salterns was localized as discrete foci possibly associated with damaged sites in the DNA in cells treated with 4-NQO, so it could be involved in the repair of damaged DNA. In summary, novel genes involved in resistance to UV radiation, 4-NQO and perchlorate have been identified in this work and two of them encoding hypothetical proteins that could be involved in DNA damage repair activities not previously described.</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lastRenderedPageBreak/>
        <w:t xml:space="preserve">Lan, F., Qin, Y., Wang, A., Li, M., Wang, G., </w:t>
      </w:r>
      <w:r w:rsidR="00616347">
        <w:t xml:space="preserve">2020. </w:t>
      </w:r>
      <w:r w:rsidRPr="003532DF">
        <w:t>The origin of high and variable concentrations of heavy hydrocarbon gases in coal from the Enhong syncline of Yunnan, China. Journal of Natural Gas Science and Engineering 76, 103217.</w:t>
      </w:r>
    </w:p>
    <w:p w:rsidR="00DB42FE" w:rsidRPr="003532DF" w:rsidRDefault="00DB42FE" w:rsidP="00616347">
      <w:pPr>
        <w:pStyle w:val="EndNoteBibliography"/>
        <w:ind w:left="360"/>
      </w:pPr>
      <w:r w:rsidRPr="003532DF">
        <w:t>http://www.sciencedirect.com/science/article/pii/S1875510020300718</w:t>
      </w:r>
    </w:p>
    <w:p w:rsidR="00DB42FE" w:rsidRPr="003532DF" w:rsidRDefault="00DB42FE" w:rsidP="00616347">
      <w:pPr>
        <w:pStyle w:val="EndNoteBibliography"/>
        <w:spacing w:after="0"/>
        <w:ind w:left="360"/>
      </w:pPr>
      <w:r w:rsidRPr="003532DF">
        <w:t>The composition of coalbed methane (CBM) in the Enhong syncline of Yunnan China has abnormally high concentrations of heavy hydrocarbon gases (C</w:t>
      </w:r>
      <w:r w:rsidRPr="003532DF">
        <w:rPr>
          <w:vertAlign w:val="subscript"/>
        </w:rPr>
        <w:t>2+</w:t>
      </w:r>
      <w:r w:rsidRPr="003532DF">
        <w:t>). The distribution of the C</w:t>
      </w:r>
      <w:r w:rsidRPr="003532DF">
        <w:rPr>
          <w:vertAlign w:val="subscript"/>
        </w:rPr>
        <w:t>2+</w:t>
      </w:r>
      <w:r w:rsidRPr="003532DF">
        <w:t xml:space="preserve"> gases is variable in the syncline, some areas contain high concentration of C</w:t>
      </w:r>
      <w:r w:rsidRPr="003532DF">
        <w:rPr>
          <w:vertAlign w:val="subscript"/>
        </w:rPr>
        <w:t>2+</w:t>
      </w:r>
      <w:r w:rsidRPr="003532DF">
        <w:t xml:space="preserve"> gases from 2.9 to 36.98% which are called “wet gas area”, and in some areas, C</w:t>
      </w:r>
      <w:r w:rsidRPr="003532DF">
        <w:rPr>
          <w:vertAlign w:val="subscript"/>
        </w:rPr>
        <w:t>2+</w:t>
      </w:r>
      <w:r w:rsidRPr="003532DF">
        <w:t xml:space="preserve"> gases can't be examined which are called “dry gas area”. The reason for the high concentration of C</w:t>
      </w:r>
      <w:r w:rsidRPr="003532DF">
        <w:rPr>
          <w:vertAlign w:val="subscript"/>
        </w:rPr>
        <w:t>2+</w:t>
      </w:r>
      <w:r w:rsidRPr="003532DF">
        <w:t xml:space="preserve"> gases is connected with the coal maceral composition, the barkinites. The barkinites have the oil-prone character and have generated a lot of oil and exsudatinite in the process of coal maturation, which have been observed under the microscope. Accompanied by the oil and exsudatinite, many C</w:t>
      </w:r>
      <w:r w:rsidRPr="003532DF">
        <w:rPr>
          <w:vertAlign w:val="subscript"/>
        </w:rPr>
        <w:t>2+</w:t>
      </w:r>
      <w:r w:rsidRPr="003532DF">
        <w:t xml:space="preserve"> gases are generated from the coal, which can be proved by a large amount of C</w:t>
      </w:r>
      <w:r w:rsidRPr="003532DF">
        <w:rPr>
          <w:vertAlign w:val="subscript"/>
        </w:rPr>
        <w:t>2+</w:t>
      </w:r>
      <w:r w:rsidRPr="003532DF">
        <w:t xml:space="preserve"> gases generated from coal in Enhong syncline during the pyrolysis simulation experiments (Py-Gc). The reason of the uneven distribution of C</w:t>
      </w:r>
      <w:r w:rsidRPr="003532DF">
        <w:rPr>
          <w:vertAlign w:val="subscript"/>
        </w:rPr>
        <w:t>2+</w:t>
      </w:r>
      <w:r w:rsidRPr="003532DF">
        <w:t xml:space="preserve"> gases in the study area may be caused by different degrees of microbial degradation. The gases in the “dry gas area” become drier because of more microbial degradation and presenting biogenic gases character with little wet gas and lighter carbon isotopic methane, while gases in the “wet gas area” keep the character of thermogenic gases. The different degrees of microbial degradation may be caused by different gas preservation conditions such as coal pore structure. Mercury injection experiments show that coals in the “wet gas area” have larger pore specific surface areas and more micropores but fewer macropores. The larger pore volume of micropore and transitional pore may help the coal in the “wet gas area” protect the wet gases, maybe avoid the wet gases being degraded by the microorganisms.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Landwehrs, J.P., Feulner, G., Hofmann, M., Petri, S., </w:t>
      </w:r>
      <w:r w:rsidR="00616347">
        <w:t xml:space="preserve">2020. </w:t>
      </w:r>
      <w:r w:rsidRPr="003532DF">
        <w:t>Climatic fluctuations modeled for carbon and sulfur emissions from end-Triassic volcanism. Earth and Planetary Science Letters 537, 116174.</w:t>
      </w:r>
    </w:p>
    <w:p w:rsidR="00DB42FE" w:rsidRPr="003532DF" w:rsidRDefault="00DB42FE" w:rsidP="00616347">
      <w:pPr>
        <w:pStyle w:val="EndNoteBibliography"/>
        <w:ind w:left="360"/>
      </w:pPr>
      <w:r w:rsidRPr="003532DF">
        <w:t>http://www.sciencedirect.com/science/article/pii/S0012821X20301175</w:t>
      </w:r>
    </w:p>
    <w:p w:rsidR="00DB42FE" w:rsidRPr="003532DF" w:rsidRDefault="00DB42FE" w:rsidP="00616347">
      <w:pPr>
        <w:pStyle w:val="EndNoteBibliography"/>
        <w:spacing w:after="0"/>
        <w:ind w:left="360"/>
      </w:pPr>
      <w:r w:rsidRPr="003532DF">
        <w:t xml:space="preserve">Throughout the history of complex life, Earth's climate and biogeochemical cycles have been perturbed by Large Igneous Province (LIP) volcanism, with several LIP episodes correlating with major mass extinction events. Yet many aspects of the interplay between geological, climatic and ecological processes in the Earth System during these times of global upheaval remain poorly understood. This study focuses on the Central Atlantic Magmatic Province and the associated extinction event in the latest Triassic, about 201 million years ago. Although climate and carbon cycle models successfully reproduce aspects of the end-Triassic environmental changes, many questions regarding the causal and temporal relations behind them remain unresolved. Here, we report an effort to model and quantify the dynamic response of the Earth System to short pulses of volcanogenic volatile emissions for an ensemble of emission scenarios. For the first time in the context of the end-Triassic events, this is done with a coupled climate model and under consideration of both carbon and sulfur emissions. Tested are pulses with </w:t>
      </w:r>
      <w:r w:rsidRPr="003532DF">
        <w:rPr>
          <w:rFonts w:ascii="Cambria Math" w:hAnsi="Cambria Math" w:cs="Cambria Math"/>
        </w:rPr>
        <w:t>∼</w:t>
      </w:r>
      <w:r w:rsidRPr="003532DF">
        <w:t>1</w:t>
      </w:r>
      <w:r w:rsidRPr="003532DF">
        <w:rPr>
          <w:rFonts w:cs="Calibri"/>
        </w:rPr>
        <w:t>−</w:t>
      </w:r>
      <w:r w:rsidRPr="003532DF">
        <w:t>6 kyr duration during which 2500</w:t>
      </w:r>
      <w:r w:rsidRPr="003532DF">
        <w:rPr>
          <w:rFonts w:cs="Calibri"/>
        </w:rPr>
        <w:t>−</w:t>
      </w:r>
      <w:r w:rsidRPr="003532DF">
        <w:t>7500GtC are emitted and 0</w:t>
      </w:r>
      <w:r w:rsidRPr="003532DF">
        <w:rPr>
          <w:rFonts w:cs="Calibri"/>
        </w:rPr>
        <w:t>−</w:t>
      </w:r>
      <w:r w:rsidRPr="003532DF">
        <w:t xml:space="preserve">500GtS form stratospheric sulfate aerosols. The simultaneous emission of carbon and sulfur during one pulse of volcanic activity causes climatic fluctuations on annual to millennial timescales: A sequence of transient global cooling and subsequent sustained warming, overprinted with high interannual variability. The simulated maximum global warming ranges from +1.8 to +4.4 °C, while the amplitude of cooling is </w:t>
      </w:r>
      <w:r w:rsidRPr="003532DF">
        <w:lastRenderedPageBreak/>
        <w:t>considerably higher in the upper range of the tested sulfur emission scenarios. The magnitude of temperature change varies regionally, being lowest in the Tethys realm. Changes in steric sea level (</w:t>
      </w:r>
      <w:r w:rsidRPr="003532DF">
        <w:rPr>
          <w:rFonts w:ascii="Cambria Math" w:hAnsi="Cambria Math" w:cs="Cambria Math"/>
        </w:rPr>
        <w:t>∼</w:t>
      </w:r>
      <w:r w:rsidRPr="003532DF">
        <w:t>1</w:t>
      </w:r>
      <w:r w:rsidRPr="003532DF">
        <w:rPr>
          <w:rFonts w:cs="Calibri"/>
        </w:rPr>
        <w:t>−</w:t>
      </w:r>
      <w:r w:rsidRPr="003532DF">
        <w:t>3 m) and ocean overturning strength, a surface ocean pH decrease (</w:t>
      </w:r>
      <w:r w:rsidRPr="003532DF">
        <w:rPr>
          <w:rFonts w:ascii="Cambria Math" w:hAnsi="Cambria Math" w:cs="Cambria Math"/>
        </w:rPr>
        <w:t>∼</w:t>
      </w:r>
      <w:r w:rsidRPr="003532DF">
        <w:t>0.2</w:t>
      </w:r>
      <w:r w:rsidRPr="003532DF">
        <w:rPr>
          <w:rFonts w:cs="Calibri"/>
        </w:rPr>
        <w:t>−</w:t>
      </w:r>
      <w:r w:rsidRPr="003532DF">
        <w:t>0.4) and a drop of the carbonate saturation especially in the Tethys are also obtained from the simulations during each emission pulse. By evaluating the simulated temperature changes against thermal tolerance limits of stony corals in a simplified manner, we find that these are not clearly transgressed on a global scale in the simulated warming scenarios. However, the climatic variability potentially introduced by the volcanic forcing would have represented significant stress for marine organisms. This study represents a significant step towards integrating multiple volcanic forcing mechanisms and environmental response processes in space and time to yield a more complete picture of impacts of CAMP volcanism and LIPs in general.</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LaRowe, D.E., Arndt, S., Bradley, J.A., Estes, E.R., Hoarfrost, A., Lang, S.Q., Lloyd, K.G., Mahmoudi, N., Orsi, W.D., Shah Walter, S.R., Steen, A.D., Zhao, R., </w:t>
      </w:r>
      <w:r w:rsidR="00616347">
        <w:t xml:space="preserve">2020. </w:t>
      </w:r>
      <w:r w:rsidRPr="003532DF">
        <w:t>The fate of organic carbon in marine sediments - New insights from recent data and analysis. Earth-Science Reviews 204, 103146.</w:t>
      </w:r>
    </w:p>
    <w:p w:rsidR="00DB42FE" w:rsidRPr="003532DF" w:rsidRDefault="00DB42FE" w:rsidP="00616347">
      <w:pPr>
        <w:pStyle w:val="EndNoteBibliography"/>
        <w:ind w:left="360"/>
      </w:pPr>
      <w:r w:rsidRPr="003532DF">
        <w:t>http://www.sciencedirect.com/science/article/pii/S0012825219305720</w:t>
      </w:r>
    </w:p>
    <w:p w:rsidR="00DB42FE" w:rsidRPr="003532DF" w:rsidRDefault="00DB42FE" w:rsidP="00616347">
      <w:pPr>
        <w:pStyle w:val="EndNoteBibliography"/>
        <w:spacing w:after="0"/>
        <w:ind w:left="360"/>
      </w:pPr>
      <w:r w:rsidRPr="003532DF">
        <w:t>Organic carbon in marine sediments is a critical component of the global carbon cycle, and its degradation influences a wide range of phenomena, including the magnitude of carbon sequestration over geologic timescales, the recycling of inorganic carbon and nutrients, the dissolution and precipitation of carbonates, the production of methane and the nature of the seafloor biosphere. Although much has been learned about the factors that promote and hinder rates of organic carbon degradation in natural systems, the controls on the distribution of organic carbon in modern and ancient sediments are still not fully understood. In this review, we summarize how recent findings are changing entrenched perspectives on organic matter degradation in marine sediments: a shift from a structurally-based chemical reactivity viewpoint towards an emerging acceptance of the role of the ecosystem in organic matter degradation rates. That is, organic carbon has a range of reactivities determined by not only the nature of the organic compounds, but by the biological, geochemical, and physical attributes of its environment. This shift in mindset has gradually come about due to a greater diversity of sample sites, the molecular revolution in biology, discoveries concerning the extent and limits of life, advances in quantitative modeling, investigations of ocean carbon cycling under a variety of extreme paleo-conditions (e.g. greenhouse environments, euxinic/anoxic oceans), the application of novel analytical techniques and interdisciplinary efforts. Adopting this view across scientific disciplines will enable additional progress in understanding how marine sediments influence the global carbon cycle.</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Laszakovits, J.R., Somogyi, A., MacKay, A.A., </w:t>
      </w:r>
      <w:r w:rsidR="00616347">
        <w:t xml:space="preserve">2020. </w:t>
      </w:r>
      <w:r w:rsidRPr="003532DF">
        <w:t>Chemical alterations of dissolved organic matter by permanganate oxidation. Environmental Science &amp; Technology 54, 3256-3266.</w:t>
      </w:r>
    </w:p>
    <w:p w:rsidR="00DB42FE" w:rsidRPr="003532DF" w:rsidRDefault="00DB42FE" w:rsidP="00616347">
      <w:pPr>
        <w:pStyle w:val="EndNoteBibliography"/>
        <w:ind w:left="360"/>
      </w:pPr>
      <w:r w:rsidRPr="003532DF">
        <w:t>https://doi.org/10.1021/acs.est.9b06675</w:t>
      </w:r>
    </w:p>
    <w:p w:rsidR="00DB42FE" w:rsidRPr="003532DF" w:rsidRDefault="00DB42FE" w:rsidP="00616347">
      <w:pPr>
        <w:pStyle w:val="EndNoteBibliography"/>
        <w:spacing w:after="0"/>
        <w:ind w:left="360"/>
      </w:pPr>
      <w:r w:rsidRPr="003532DF">
        <w:t xml:space="preserve">Dissolved organic matter (DOM) is ubiquitous in raw drinking water and can efficiently scavenge oxidants, such as permanganate. Here, changes to DOM induced by permanganate oxidation under typical drinking water treatment conditions (6 μM, 1 h) to bulk DOM properties, DOM functional groups, and DOM chemical formulae were examined for two DOM isolate types (terrestrial and microbial). Permanganate oxidation did not mineralize DOM, rather changes were compositional in </w:t>
      </w:r>
      <w:r w:rsidRPr="003532DF">
        <w:lastRenderedPageBreak/>
        <w:t>nature. Optical properties suggest that permanganate oxidation decreased DOM aromaticity (decreased SUVA-254), decreased DOM electron-donating capacity, and decreased DOM average molecular weight (increased E2/E3 ratios). Fourier-transform-infrared spectroscopy second derivative analyses revealed that permanganate does not oxidize DOM alkene groups, suggesting permanganate access to functional groups may be important. Four ionization techniques were used with ultrahigh-resolution mass spectrometry: negative and positive ion mode electrospray ionization and negative and positive ion mode laser/desorption ionization. The results from all four techniques were combined to understand changes in DOM chemical formulae. It was concluded that nitrogen-containing aromatic compounds and alkylbenzenes were oxidized by permanganate to form nitrogen-containing aliphatic compounds and benzoic acid-containing compounds. This work highlights how multiple ionization techniques coupled with UHR-MS can enable a more detailed characterization of DOM.</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Lau, H.C., Zhang, M., Wang, J., Pan, L., </w:t>
      </w:r>
      <w:r w:rsidR="00616347">
        <w:t xml:space="preserve">2020. </w:t>
      </w:r>
      <w:r w:rsidRPr="003532DF">
        <w:t>Some technical considerations of gas-hydrate development from Chinese permafrost regions. SPE Reservoir Evaluation &amp; Engineering 23, 369-387.</w:t>
      </w:r>
    </w:p>
    <w:p w:rsidR="00DB42FE" w:rsidRPr="003532DF" w:rsidRDefault="00DB42FE" w:rsidP="00616347">
      <w:pPr>
        <w:pStyle w:val="EndNoteBibliography"/>
        <w:ind w:left="360"/>
      </w:pPr>
      <w:r w:rsidRPr="003532DF">
        <w:t>https://doi.org/10.2118/194486-PA</w:t>
      </w:r>
    </w:p>
    <w:p w:rsidR="00DB42FE" w:rsidRPr="003532DF" w:rsidRDefault="00DB42FE" w:rsidP="00616347">
      <w:pPr>
        <w:pStyle w:val="EndNoteBibliography"/>
        <w:spacing w:after="0"/>
        <w:ind w:left="360"/>
      </w:pPr>
      <w:r w:rsidRPr="003532DF">
        <w:t>Review of published geological data shows that permafrost regions in China’s Mohe Basin, Qilian Mountain, and Qinghai-Tibet Plateau hold promise for gas-hydrate accumulation according to identifiable source rock, migration path, and reservoir seal, among others. In addition, they show some common characteristics: source rock consisting mostly of shale, relatively poor reservoir quality, and gas migration through fractures. However, formation lithology, source-rock type, origin of organic matter, and total organic carbon (TOC) exhibit significant differences.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Lau, J.W., Schliep, K.B., Katz, M.B., Gokhale, V.J., Gorman, J.J., Jing, C., Liu, A., Zhao, Y., Montgomery, E., Choe, H., Rush, W., Kanareykin, A., Fu, X., Zhu, Y., </w:t>
      </w:r>
      <w:r w:rsidR="00616347">
        <w:t xml:space="preserve">2020. </w:t>
      </w:r>
      <w:r w:rsidRPr="003532DF">
        <w:t>Laser-free GHz stroboscopic transmission electron microscope: Components, system integration, and practical considerations for pump–probe measurements. Review of Scientific Instruments 91, 021301.</w:t>
      </w:r>
    </w:p>
    <w:p w:rsidR="00DB42FE" w:rsidRPr="003532DF" w:rsidRDefault="00DB42FE" w:rsidP="00616347">
      <w:pPr>
        <w:pStyle w:val="EndNoteBibliography"/>
        <w:ind w:left="360"/>
      </w:pPr>
      <w:r w:rsidRPr="003532DF">
        <w:t>https://doi.org/10.1063/1.5131758</w:t>
      </w:r>
    </w:p>
    <w:p w:rsidR="00DB42FE" w:rsidRPr="003532DF" w:rsidRDefault="00DB42FE" w:rsidP="00616347">
      <w:pPr>
        <w:pStyle w:val="EndNoteBibliography"/>
        <w:spacing w:after="0"/>
        <w:ind w:left="360"/>
      </w:pPr>
      <w:r w:rsidRPr="003532DF">
        <w:t>A 300 keV transmission electron microscope was modified to produce broadband pulsed beams that can be, in principle, between 40 MHz and 12 GHz, corresponding to temporal resolution in the nanosecond to picosecond range without an excitation laser. The key enabling technology is a pair of phase-matched modulating and de-modulating traveling wave metallic comb striplines (pulsers). An initial temporal resolution of 30 ps was achieved with a strobe frequency of 6.0 GHz. The placement of the pulsers, mounted immediately below the gun, allows for preservation of all optical configurations, otherwise available to the unmodified instrument, and therefore makes such a post-modified instrument for dual-use, i.e., both pulsed-beam mode (i.e., stroboscopic time-resolved) and conventional continuous waveform mode. In this article, we describe the elements inserted into the beam path, challenges encountered during integration with an in-service microscope, and early results from an electric-field-driven pump–probe experiment. We conclude with ideas for making this class of instruments broadly applicable for examining cyclical and repeatable phenomena.</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Lauderdale, J.M., Braakman, R., Forget, G., Dutkiewicz, S., Follows, M.J., </w:t>
      </w:r>
      <w:r w:rsidR="00616347">
        <w:t xml:space="preserve">2020. </w:t>
      </w:r>
      <w:r w:rsidRPr="003532DF">
        <w:t>Microbial feedbacks optimize ocean iron availability. Proceedings of the National Academy of Sciences 117, 4842.</w:t>
      </w:r>
    </w:p>
    <w:p w:rsidR="00DB42FE" w:rsidRPr="003532DF" w:rsidRDefault="00DB42FE" w:rsidP="00616347">
      <w:pPr>
        <w:pStyle w:val="EndNoteBibliography"/>
        <w:ind w:left="360"/>
      </w:pPr>
      <w:r w:rsidRPr="003532DF">
        <w:lastRenderedPageBreak/>
        <w:t>https://doi.org/10.1073/pnas.1917277117</w:t>
      </w:r>
    </w:p>
    <w:p w:rsidR="00DB42FE" w:rsidRPr="003532DF" w:rsidRDefault="00DB42FE" w:rsidP="00616347">
      <w:pPr>
        <w:pStyle w:val="EndNoteBibliography"/>
        <w:ind w:left="360"/>
      </w:pPr>
      <w:r w:rsidRPr="003532DF">
        <w:t>Significance: Marine microbe growth is limited by iron over about half of the global ocean surface. Dissolved iron is quickly lost from the ocean, but its availability to marine microbes may be enhanced by binding with organic molecules which, in turn, are produced by microbes. We hypothesize this forms a reinforcing cycle between biological activity and iron cycling that locally matches the availability of iron and other nutrients, leading to global-scale resource colimitation between macronutrients and micronutrients, and maximizing biological productivity. Idealized models support this hypothesis, depending on the specific relationships between microbial sources and sinks of organic molecules. An evolutionary selection may have occurred which optimizes these characteristics, resulting in “just enough” iron in the ocean.</w:t>
      </w:r>
    </w:p>
    <w:p w:rsidR="00DB42FE" w:rsidRPr="003532DF" w:rsidRDefault="00DB42FE" w:rsidP="00616347">
      <w:pPr>
        <w:pStyle w:val="EndNoteBibliography"/>
        <w:spacing w:after="0"/>
        <w:ind w:left="360"/>
      </w:pPr>
      <w:r w:rsidRPr="003532DF">
        <w:t>Abstract: Iron is the limiting factor for biological production over a large fraction of the surface ocean because free iron is rapidly scavenged or precipitated under aerobic conditions. Standing stocks of dissolved iron are maintained by association with organic molecules (ligands) produced by biological processes. We hypothesize a positive feedback between iron cycling, microbial activity, and ligand abundance: External iron input fuels microbial production, creating organic ligands that support more iron in seawater, leading to further macronutrient consumption until other microbial requirements such as macronutrients or light become limiting, and additional iron no longer increases productivity. This feedback emerges in numerical simulations of the coupled marine cycles of macronutrients and iron that resolve the dynamic microbial production and loss of iron-chelating ligands. The model solutions resemble modern nutrient distributions only over a finite range of prescribed ligand source/sink ratios where the model ocean is driven to global-scale colimitation by micronutrients and macronutrients and global production is maximized. We hypothesize that a global-scale selection for microbial ligand cycling may have occurred to maintain “just enough” iron in the ocean.</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Lawal, K.A., Yadua, A.U., Ovuru, M.I., Okoh, O.M., Eyitayo, S.I., Matemilola, S., Olamigoke, O., </w:t>
      </w:r>
      <w:r w:rsidR="00616347">
        <w:t xml:space="preserve">2020. </w:t>
      </w:r>
      <w:r w:rsidRPr="003532DF">
        <w:t>Rapid screening of oil-rim reservoirs for development and management. Journal of Petroleum Exploration and Production Technology 10, 1155-1168.</w:t>
      </w:r>
    </w:p>
    <w:p w:rsidR="00DB42FE" w:rsidRPr="003532DF" w:rsidRDefault="00DB42FE" w:rsidP="00616347">
      <w:pPr>
        <w:pStyle w:val="EndNoteBibliography"/>
        <w:ind w:left="360"/>
      </w:pPr>
      <w:r w:rsidRPr="003532DF">
        <w:t>https://doi.org/10.1007/s13202-019-00810-6</w:t>
      </w:r>
    </w:p>
    <w:p w:rsidR="00DB42FE" w:rsidRPr="003532DF" w:rsidRDefault="00DB42FE" w:rsidP="00616347">
      <w:pPr>
        <w:pStyle w:val="EndNoteBibliography"/>
        <w:spacing w:after="0"/>
        <w:ind w:left="360"/>
      </w:pPr>
      <w:r w:rsidRPr="003532DF">
        <w:t>As an improvement over existing screening techniques, we introduce the relative mobile energy of primary gas-cap to the aquifer (</w:t>
      </w:r>
      <w:r w:rsidRPr="003532DF">
        <w:rPr>
          <w:i/>
        </w:rPr>
        <w:t>E</w:t>
      </w:r>
      <w:r w:rsidRPr="003532DF">
        <w:rPr>
          <w:vertAlign w:val="subscript"/>
        </w:rPr>
        <w:t>gw</w:t>
      </w:r>
      <w:r w:rsidRPr="003532DF">
        <w:t xml:space="preserve">) as a new parameter for characterizing the performance of oil-rim reservoirs. </w:t>
      </w:r>
      <w:r w:rsidRPr="003532DF">
        <w:rPr>
          <w:i/>
        </w:rPr>
        <w:t>E</w:t>
      </w:r>
      <w:r w:rsidRPr="003532DF">
        <w:rPr>
          <w:vertAlign w:val="subscript"/>
        </w:rPr>
        <w:t>gw</w:t>
      </w:r>
      <w:r w:rsidRPr="003532DF">
        <w:t xml:space="preserve"> integrates key static and dynamic reservoir properties. To account for the time value of production, the framework allows maximizing the discounted recovery factor (DRF) of oil, gas or total hydrocarbon as the objective function. Employing detailed simulations of different well-defined oil-rim models, DRFs of oil, gas and total hydrocarbons have been correlated against </w:t>
      </w:r>
      <w:r w:rsidRPr="003532DF">
        <w:rPr>
          <w:i/>
        </w:rPr>
        <w:t>E</w:t>
      </w:r>
      <w:r w:rsidRPr="003532DF">
        <w:rPr>
          <w:vertAlign w:val="subscript"/>
        </w:rPr>
        <w:t>gw</w:t>
      </w:r>
      <w:r w:rsidRPr="003532DF">
        <w:t xml:space="preserve"> for common development concepts and well types. These correlations have resulted in a new screening technique for both green and brown oil-rim reservoirs. In addition to presenting simple generic charts for quick evaluation of oil-rim reservoirs, the main contributions of this work include the introduction of </w:t>
      </w:r>
      <w:r w:rsidRPr="003532DF">
        <w:rPr>
          <w:i/>
        </w:rPr>
        <w:t>E</w:t>
      </w:r>
      <w:r w:rsidRPr="003532DF">
        <w:rPr>
          <w:vertAlign w:val="subscript"/>
        </w:rPr>
        <w:t>gw</w:t>
      </w:r>
      <w:r w:rsidRPr="003532DF">
        <w:t xml:space="preserve"> as a new performance-characterizing parameter, and the flexibility to consider the DRF of any of oil, gas or total hydrocarbon as the basis for screening an oil-rim reservoir for development planning and field management. Using the example of a brown oil-rim reservoir, the applicability and robustness of the new screening technique are demonstrated.</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lastRenderedPageBreak/>
        <w:t xml:space="preserve">Lécuyer, C., Fourel, F., Blamey, N., Brand, U., Fralick, P., </w:t>
      </w:r>
      <w:r w:rsidR="00616347">
        <w:t xml:space="preserve">2020. </w:t>
      </w:r>
      <w:r w:rsidRPr="003532DF">
        <w:t>δ</w:t>
      </w:r>
      <w:r w:rsidRPr="003532DF">
        <w:rPr>
          <w:vertAlign w:val="superscript"/>
        </w:rPr>
        <w:t>2</w:t>
      </w:r>
      <w:r w:rsidRPr="003532DF">
        <w:t>H of water from fluid inclusions in Proterozoic halite: Evidence for a deuterium-depleted hydrosphere? Chemical Geology 541, 119583.</w:t>
      </w:r>
    </w:p>
    <w:p w:rsidR="00DB42FE" w:rsidRPr="003532DF" w:rsidRDefault="00DB42FE" w:rsidP="00616347">
      <w:pPr>
        <w:pStyle w:val="EndNoteBibliography"/>
        <w:ind w:left="360"/>
      </w:pPr>
      <w:r w:rsidRPr="003532DF">
        <w:t>http://www.sciencedirect.com/science/article/pii/S0009254120301224</w:t>
      </w:r>
    </w:p>
    <w:p w:rsidR="00DB42FE" w:rsidRPr="003532DF" w:rsidRDefault="00DB42FE" w:rsidP="00616347">
      <w:pPr>
        <w:pStyle w:val="EndNoteBibliography"/>
        <w:spacing w:after="0"/>
        <w:ind w:left="360"/>
      </w:pPr>
      <w:r w:rsidRPr="003532DF">
        <w:t>δ</w:t>
      </w:r>
      <w:r w:rsidRPr="003532DF">
        <w:rPr>
          <w:vertAlign w:val="superscript"/>
        </w:rPr>
        <w:t>2</w:t>
      </w:r>
      <w:r w:rsidRPr="003532DF">
        <w:t>H were measured in water present in tiny primary fluid inclusions trapped in Mesoproterozoic (≈1.4 Ga) and Neoproterozoic (≈0.8 Ga) halite crystals. While the hydrogen concentrations range from 300 to 1500 ppm for the whole sample collection, δ</w:t>
      </w:r>
      <w:r w:rsidRPr="003532DF">
        <w:rPr>
          <w:vertAlign w:val="superscript"/>
        </w:rPr>
        <w:t>2</w:t>
      </w:r>
      <w:r w:rsidRPr="003532DF">
        <w:t>H values range from −74‰ to −54‰ (VSMOW) for the Mesoproterozoic halite sampled from the Sibley Group, Ontario, Canada, and from −89 to −38‰ for the Neoproterozoic halite from the Browne Formation, Officer Basin, Australia. The amount of evaporation required to precipitate halite is accompanied by a deuterium-enrichment of 30‰ to 90‰. It means that the original aqueous solutions had δ</w:t>
      </w:r>
      <w:r w:rsidRPr="003532DF">
        <w:rPr>
          <w:vertAlign w:val="superscript"/>
        </w:rPr>
        <w:t>2</w:t>
      </w:r>
      <w:r w:rsidRPr="003532DF">
        <w:t>H values comprised between −140‰ and −90‰. Considering the estimated tropical paleolatitudes for both depositional environments, surface waters were most likely significantly deuterium-depleted relative to modern ones. If such interpretation is partly at variance with the geological record, it could be reconciliated with some modelling outputs of the long-term water cycle. Indeed, several mechanisms produce a progressive deuterium-enrichment of the oceans. Those identified so far are the addition of deuterium-rich extraterrestrial water (cometary dust), the loss of H during water photodissociation by ultraviolet radiation in the upper atmosphere, and the isotopic fractionation that takes place during the hydroxylation of nominally-anhydrous mantle rock-forming minerals. We also propose that the major process able to shift through time the δ</w:t>
      </w:r>
      <w:r w:rsidRPr="003532DF">
        <w:rPr>
          <w:vertAlign w:val="superscript"/>
        </w:rPr>
        <w:t>2</w:t>
      </w:r>
      <w:r w:rsidRPr="003532DF">
        <w:t>Η of the hydrosphere is the reduction of H</w:t>
      </w:r>
      <w:r w:rsidRPr="003532DF">
        <w:rPr>
          <w:vertAlign w:val="subscript"/>
        </w:rPr>
        <w:t>2</w:t>
      </w:r>
      <w:r w:rsidRPr="003532DF">
        <w:t>O into H</w:t>
      </w:r>
      <w:r w:rsidRPr="003532DF">
        <w:rPr>
          <w:vertAlign w:val="subscript"/>
        </w:rPr>
        <w:t>2</w:t>
      </w:r>
      <w:r w:rsidRPr="003532DF">
        <w:t xml:space="preserve"> during the serpentinization of mantle rocks at mid-ocean ridges.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Lee, B.H., D’Ambro, E.L., Lopez-Hilfiker, F.D., Schobesberger, S., Mohr, C., Zawadowicz, M.A., Liu, J., Shilling, J.E., Hu, W., Palm, B.B., Jimenez, J.L., Hao, L., Virtanen, A., Zhang, H., Goldstein, A.H., Pye, H.O.T., Thornton, J.A., </w:t>
      </w:r>
      <w:r w:rsidR="00616347">
        <w:t xml:space="preserve">2020. </w:t>
      </w:r>
      <w:r w:rsidRPr="003532DF">
        <w:t>Resolving ambient organic aerosol formation and aging pathways with simultaneous molecular composition and volatility observations. ACS Earth and Space Chemistry 4, 391-402.</w:t>
      </w:r>
    </w:p>
    <w:p w:rsidR="00DB42FE" w:rsidRPr="003532DF" w:rsidRDefault="00DB42FE" w:rsidP="00616347">
      <w:pPr>
        <w:pStyle w:val="EndNoteBibliography"/>
        <w:ind w:left="360"/>
      </w:pPr>
      <w:r w:rsidRPr="003532DF">
        <w:t>https://doi.org/10.1021/acsearthspacechem.9b00302</w:t>
      </w:r>
    </w:p>
    <w:p w:rsidR="00DB42FE" w:rsidRPr="003532DF" w:rsidRDefault="00DB42FE" w:rsidP="00616347">
      <w:pPr>
        <w:pStyle w:val="EndNoteBibliography"/>
        <w:spacing w:after="0"/>
        <w:ind w:left="360"/>
      </w:pPr>
      <w:r w:rsidRPr="003532DF">
        <w:t>Organic aerosol (OA) constitutes a significant fraction of atmospheric fine particle mass. However, the precursors and chemical processes responsible for a majority of OA are rarely conclusively identified. We use online observations of hundreds of simultaneously measured molecular components obtained from 15 laboratory OA formation experiments with constraints on their effective saturation vapor concentrations to attribute the volatile organic compound (VOC) precursors and subsequent chemical pathways giving rise to the vast majority of OA mass measured in two forested regions. We find that precursors and chemical pathways regulating OA composition and volatility are dynamic over hours to days, with their variations driven by coupled interactions between multiple oxidants. The extent of physical and photochemical aging, and its modulation by NO</w:t>
      </w:r>
      <w:r w:rsidRPr="003532DF">
        <w:rPr>
          <w:i/>
          <w:vertAlign w:val="subscript"/>
        </w:rPr>
        <w:t>x</w:t>
      </w:r>
      <w:r w:rsidRPr="003532DF">
        <w:t>, was key to a uniquely comprehensive combined composition–volatility description of OA. Our findings thus provide some of the most complete mechanistic-level guidance to the development of OA descriptions in air quality and earth system models.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Lee, H., Abarghani, A., Liu, B., Shokouhimehr, M., Ostadhassan, M., </w:t>
      </w:r>
      <w:r w:rsidR="00616347">
        <w:t xml:space="preserve">2020. </w:t>
      </w:r>
      <w:r w:rsidRPr="003532DF">
        <w:t>Molecular weight variations of kerogen during maturation with MALDI-TOF-MS. Fuel 269, 117452.</w:t>
      </w:r>
    </w:p>
    <w:p w:rsidR="00DB42FE" w:rsidRPr="003532DF" w:rsidRDefault="00DB42FE" w:rsidP="00616347">
      <w:pPr>
        <w:pStyle w:val="EndNoteBibliography"/>
        <w:ind w:left="360"/>
      </w:pPr>
      <w:r w:rsidRPr="003532DF">
        <w:t>http://www.sciencedirect.com/science/article/pii/S0016236120304476</w:t>
      </w:r>
    </w:p>
    <w:p w:rsidR="00DB42FE" w:rsidRPr="003532DF" w:rsidRDefault="00DB42FE" w:rsidP="00616347">
      <w:pPr>
        <w:pStyle w:val="EndNoteBibliography"/>
        <w:spacing w:after="0"/>
        <w:ind w:left="360"/>
      </w:pPr>
      <w:r w:rsidRPr="003532DF">
        <w:lastRenderedPageBreak/>
        <w:t>Kerogen is an amorphous organic matter (AOM) in fine grain sediments, which produces petroleum and other byproducts when subjected to adequate pressure and temperature (deep burial conditions). Chemical characteristics of kerogen by considering its biogenic origin, depositional environment, and thermal maturity has been studied extensively with different analytical methods, though its molecular structure is still not fully known. In this study, conventional geochemical methods were used to screen bulk rock aliquots from the Bakken Shale with varying thermal maturities. Organic matter was isolated from the mineral matrix and then a mass spectrometry method was utilized to quantify molecular weight distribution (MWD) of four different kerogens at various thermal maturity levels (immature to late mature). Furthermore, to complement mass spectrometry, Fourier transform infrared (FTIR) spectroscopy was employed as a qualitative chemical and structural investigation technique. The MWD of four samples was obtained by matrix-assisted laser desorption/ionization time-of-flight (MALDI-TOF) mass spectrometry, and the results are correlated with the absorption indices (CH</w:t>
      </w:r>
      <w:r w:rsidRPr="003532DF">
        <w:rPr>
          <w:vertAlign w:val="subscript"/>
        </w:rPr>
        <w:t>3</w:t>
      </w:r>
      <w:r w:rsidRPr="003532DF">
        <w:t>/CH</w:t>
      </w:r>
      <w:r w:rsidRPr="003532DF">
        <w:rPr>
          <w:vertAlign w:val="subscript"/>
        </w:rPr>
        <w:t>2</w:t>
      </w:r>
      <w:r w:rsidRPr="003532DF">
        <w:t xml:space="preserve"> ratio and aromaticity) calculated from the FTIR attenuated total reflectance (ATR) method. The results showed when the degree of maturity increases, the aliphatic length shortens, and the branching develops, as well as the aromatic structure becomes more abundant. Moreover, based on the MWD results, higher maturity kerogen samples would consist of larger size molecular structures, which are recognized as more developed aromatic, and aliphatic branching stretches. The combination of infrared spectroscopy (AFT-FTIR) and mass spectrometry (MALDI-TOF) provided MWD variations in organic matter samples as a function of maturity based on varying absorption indices and revealed the rate of change in molecular mass populations as a function of thermal maturity in a type II kerogen.</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Lee, H., Oncel, N., Liu, B., Kukay, A., Altincicek, F., Varma, R.S., Shokouhimehr, M., Ostadhassan, M., </w:t>
      </w:r>
      <w:r w:rsidR="00616347">
        <w:t xml:space="preserve">2020. </w:t>
      </w:r>
      <w:r w:rsidRPr="003532DF">
        <w:t>Structural evolution of organic matter in deep shales by spectroscopy (</w:t>
      </w:r>
      <w:r w:rsidRPr="003532DF">
        <w:rPr>
          <w:vertAlign w:val="superscript"/>
        </w:rPr>
        <w:t>1</w:t>
      </w:r>
      <w:r w:rsidRPr="003532DF">
        <w:t xml:space="preserve">H and </w:t>
      </w:r>
      <w:r w:rsidRPr="003532DF">
        <w:rPr>
          <w:vertAlign w:val="superscript"/>
        </w:rPr>
        <w:t>13</w:t>
      </w:r>
      <w:r w:rsidRPr="003532DF">
        <w:t>C nuclear magnetic resonance, X-ray photoelectron spectroscopy, and Fourier transform infrared) analysis. Energy &amp; Fuels 34, 2807-2815.</w:t>
      </w:r>
    </w:p>
    <w:p w:rsidR="00DB42FE" w:rsidRPr="003532DF" w:rsidRDefault="00DB42FE" w:rsidP="00616347">
      <w:pPr>
        <w:pStyle w:val="EndNoteBibliography"/>
        <w:ind w:left="360"/>
      </w:pPr>
      <w:r w:rsidRPr="003532DF">
        <w:t>https://doi.org/10.1021/acs.energyfuels.9b03851</w:t>
      </w:r>
    </w:p>
    <w:p w:rsidR="00DB42FE" w:rsidRPr="003532DF" w:rsidRDefault="00DB42FE" w:rsidP="00616347">
      <w:pPr>
        <w:pStyle w:val="EndNoteBibliography"/>
        <w:spacing w:after="0"/>
        <w:ind w:left="360"/>
      </w:pPr>
      <w:r w:rsidRPr="003532DF">
        <w:t xml:space="preserve">Amorphous organic matter in geomaterials also known as kerogen undergoes significant alteration in chemical structure during thermal maturation, which is characterized using a combination of solid-state </w:t>
      </w:r>
      <w:r w:rsidRPr="003532DF">
        <w:rPr>
          <w:vertAlign w:val="superscript"/>
        </w:rPr>
        <w:t>1</w:t>
      </w:r>
      <w:r w:rsidRPr="003532DF">
        <w:t xml:space="preserve">H and </w:t>
      </w:r>
      <w:r w:rsidRPr="003532DF">
        <w:rPr>
          <w:vertAlign w:val="superscript"/>
        </w:rPr>
        <w:t>13</w:t>
      </w:r>
      <w:r w:rsidRPr="003532DF">
        <w:t>C nuclear magnetic resonance (NMR), X-ray photoelectron spectroscopy (XPS), and Fourier transform infrared (FTIR) techniques. For this study, four kerogen samples (type II) from the Bakken Formation were selected on the basis of the differences in their thermal maturity as well as representing the pre-oil and oil window stages as measured through organic petrology and bulk geochemical screening of the samples using programmed pyrolysis. Later, organic matter was extracted from selected aliquots for chemical spectroscopy. Results documented a systematic structural change in these four samples, where the ratio of CH</w:t>
      </w:r>
      <w:r w:rsidRPr="003532DF">
        <w:rPr>
          <w:vertAlign w:val="subscript"/>
        </w:rPr>
        <w:t>3</w:t>
      </w:r>
      <w:r w:rsidRPr="003532DF">
        <w:t>/CH</w:t>
      </w:r>
      <w:r w:rsidRPr="003532DF">
        <w:rPr>
          <w:vertAlign w:val="subscript"/>
        </w:rPr>
        <w:t>2</w:t>
      </w:r>
      <w:r w:rsidRPr="003532DF">
        <w:t xml:space="preserve"> increased when the maturity increases, along with the presence of a shorter aliphatic chain length. Furthermore, the aromatic carbon structure becomes more abundant in higher maturities and oil window stages quantified by </w:t>
      </w:r>
      <w:r w:rsidRPr="003532DF">
        <w:rPr>
          <w:vertAlign w:val="superscript"/>
        </w:rPr>
        <w:t>13</w:t>
      </w:r>
      <w:r w:rsidRPr="003532DF">
        <w:t>C NMR, XPS, and FTIR. Also, the rate of increase in aromaticity demonstrates a considerable rift between the pre-oil window and oil window stages, as verified through bulk geochemical screening of the samples with Rock-Eval 6 pyrolysis hydrogen index. Notably, it is found that kerogen maturation causes the relatively bulky oxygen-related carbon compounds to reduce at the early stages of maturation (pre-oil window), followed by the concentration of such compounds at higher maturity stages. Next, the ratio of carbonyl/carboxyl functional groups to aromatic carbon shows an increase in the oil window stage, while a reduction of sulfur in higher maturities was detected mainly in the SO</w:t>
      </w:r>
      <w:r w:rsidRPr="003532DF">
        <w:rPr>
          <w:i/>
          <w:vertAlign w:val="subscript"/>
        </w:rPr>
        <w:t>x</w:t>
      </w:r>
      <w:r w:rsidRPr="003532DF">
        <w:t xml:space="preserve"> forms. Finally, the nitrogen content of the samples is reported in a variety of </w:t>
      </w:r>
      <w:r w:rsidRPr="003532DF">
        <w:lastRenderedPageBreak/>
        <w:t>forms, which varied regardless of the thermal maturation. It is concluded that the structural and chemical changes that occur in the organic matter involve defunctionalization of heteroatom functional groups, coupled with an increase in cross-linked carbon in the residual remaining kerogen.</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Leech, C., Tighe, M.K., Pereg, L., Winter, G., McMillan, M., Esmaeili, A., Wilson, S.C., </w:t>
      </w:r>
      <w:r w:rsidR="00616347">
        <w:t xml:space="preserve">2020. </w:t>
      </w:r>
      <w:r w:rsidRPr="003532DF">
        <w:t>Bioaccessibility constrains the co-composting bioremediation of field aged PAH contaminated soils. International Biodeterioration &amp; Biodegradation 149, 104922.</w:t>
      </w:r>
    </w:p>
    <w:p w:rsidR="00DB42FE" w:rsidRPr="003532DF" w:rsidRDefault="00DB42FE" w:rsidP="00616347">
      <w:pPr>
        <w:pStyle w:val="EndNoteBibliography"/>
        <w:ind w:left="360"/>
      </w:pPr>
      <w:r w:rsidRPr="003532DF">
        <w:t>http://www.sciencedirect.com/science/article/pii/S0964830519310790</w:t>
      </w:r>
    </w:p>
    <w:p w:rsidR="00DB42FE" w:rsidRPr="003532DF" w:rsidRDefault="00DB42FE" w:rsidP="00616347">
      <w:pPr>
        <w:pStyle w:val="EndNoteBibliography"/>
        <w:spacing w:after="0"/>
        <w:ind w:left="360"/>
      </w:pPr>
      <w:r w:rsidRPr="003532DF">
        <w:t>Co-composting for the remediation treatment of aged polycyclic aromatic hydrocarbons (PAHs) in field contaminated soil was examined in this study. Two PAH contaminated soils collected from a manufacturing gas plant site with high PAH concentrations (184.00 ± 3.99 mg kg</w:t>
      </w:r>
      <w:r w:rsidRPr="003532DF">
        <w:rPr>
          <w:vertAlign w:val="superscript"/>
        </w:rPr>
        <w:t>−1</w:t>
      </w:r>
      <w:r w:rsidRPr="003532DF">
        <w:t xml:space="preserve"> and 490.0 ± 43.53 mg kg</w:t>
      </w:r>
      <w:r w:rsidRPr="003532DF">
        <w:rPr>
          <w:vertAlign w:val="superscript"/>
        </w:rPr>
        <w:t>−1</w:t>
      </w:r>
      <w:r w:rsidRPr="003532DF">
        <w:t>) were co-composted with cattle manure and wheat straw for up to 56 days in laboratory microcosms. A range of optimised co-composting treatments including addition of Triton-X100 surfactant and a biological surfactant from the Australian Red Ash tree (</w:t>
      </w:r>
      <w:r w:rsidRPr="003532DF">
        <w:rPr>
          <w:i/>
        </w:rPr>
        <w:t>Alphitonia excelsa</w:t>
      </w:r>
      <w:r w:rsidRPr="003532DF">
        <w:t>) were tested. There was no significant decrease in the PAH concentrations in any of the different co-composting treatments for either of the soils, despite an 87% decrease in a phenanthrene spike (100 mg kg</w:t>
      </w:r>
      <w:r w:rsidRPr="003532DF">
        <w:rPr>
          <w:vertAlign w:val="superscript"/>
        </w:rPr>
        <w:t>−1</w:t>
      </w:r>
      <w:r w:rsidRPr="003532DF">
        <w:t>), and evidence of PAH microbial catabolic activity. Non-exhaustive extraction using hydroxypropl-β-cyclodextrin (HP-β-CD) and linear regression modelling confirmed that PAH bioaccessibility constrained PAH co-composting remediation in these soils. The results demonstrate that co-composting alone is not an effective remediation strategy for certain aged PAH contaminated soils. For these soils some form of pre-composting chemical or engineering treatment is required to overcome bioaccessibility limitations in successful remediation.</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Lei, L., Seol, Y., </w:t>
      </w:r>
      <w:r w:rsidR="00616347">
        <w:t xml:space="preserve">2020. </w:t>
      </w:r>
      <w:r w:rsidRPr="003532DF">
        <w:t>Pore-scale investigation of methane hydrate-bearing sediments under triaxial condition. Geophysical Research Letters 47, e2019GL086448.</w:t>
      </w:r>
    </w:p>
    <w:p w:rsidR="00DB42FE" w:rsidRPr="003532DF" w:rsidRDefault="00DB42FE" w:rsidP="00616347">
      <w:pPr>
        <w:pStyle w:val="EndNoteBibliography"/>
        <w:ind w:left="360"/>
      </w:pPr>
      <w:r w:rsidRPr="003532DF">
        <w:t>https://doi.org/10.1029/2019GL086448</w:t>
      </w:r>
    </w:p>
    <w:p w:rsidR="00DB42FE" w:rsidRPr="003532DF" w:rsidRDefault="00DB42FE" w:rsidP="00616347">
      <w:pPr>
        <w:pStyle w:val="EndNoteBibliography"/>
        <w:ind w:left="360"/>
      </w:pPr>
      <w:r w:rsidRPr="003532DF">
        <w:t>Abstract:Mechanical behavior of hydrate‐bearing sediments is critical for well stability, reservoir deformation, and sea floor settlement during gas production. Current understanding on the mechanism of hydrate strengthening hosting sediments relies on conceptual models based on idealistic pore‐scale assumptions. Yet pore‐scale study is rare and limited to hydrate‐bearing sediments formed with surrogate guest molecules rather than methane. We present for the first time pore‐scale triaxial test results of methane hydrate‐bearing sediments. Besides the traditional stress‐strain relationship, we further explored (1) sand particle crushing and (2) pressure‐temperature dependent strength variations and (3) creep of hydrate‐bearing sediments. Results show that as hydrate enables the sand skeleton to bear additional loads, the potential of sand crushing upon hydrate dissociation also increases. Strength of hydrate‐bearing sediments decreases as pressure‐temperature condition approaches hydrate phase boundary. Hydrate‐bearing sediments creep and heal with time. The new observations suggest additional complications to be considered during gas production.</w:t>
      </w:r>
    </w:p>
    <w:p w:rsidR="00DB42FE" w:rsidRPr="003532DF" w:rsidRDefault="00DB42FE" w:rsidP="00616347">
      <w:pPr>
        <w:pStyle w:val="EndNoteBibliography"/>
        <w:spacing w:after="0"/>
        <w:ind w:left="360"/>
      </w:pPr>
      <w:r w:rsidRPr="003532DF">
        <w:t xml:space="preserve">Plain Language Summary: The presence of solid hydrate in sediment pores is known to enhance the strength of hosting sediments, similar to the effect of ice in frozen sediments. However, our understanding on the mechanism of increased strength still relies on simplified conceptual models </w:t>
      </w:r>
      <w:r w:rsidRPr="003532DF">
        <w:lastRenderedPageBreak/>
        <w:t>based on idealistic pore‐scale assumptions. Direct visualization of pore‐scale hydrate behavior can greatly advance our knowledge on this issue, yet studies are rare and conducted with surrogate gas hydrates due to challenges (1) to maintain the stability of hydrate under high pressure and low temperature, (2) to visualize the specimen with high resolution while the specimen is housed inside high‐pressure core holders, and (3) to distinguish methane hydrate from other pore constituents in CT images. We overcome these issues and conducted three experiments on specimens with different hydrate saturations. Our results highlight that the presence of hydrate strengthens the sediments by (1) providing supports for the original sediment skeleton and (2) forming hydrate skeletons to directly bear the load, especially when the hydrate saturation is high. In addition, our results show massive sand crushing, temperature‐pressure‐dependent specimen strength, creeping, and healing of hydrate‐bearing sediments.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Leu, A.O., Cai, C., McIlroy, S.J., Southam, G., Orphan, V.J., Yuan, Z., Hu, S., Tyson, G.W., </w:t>
      </w:r>
      <w:r w:rsidR="00616347">
        <w:t xml:space="preserve">2020. </w:t>
      </w:r>
      <w:r w:rsidRPr="003532DF">
        <w:t xml:space="preserve">Anaerobic methane oxidation coupled to manganese reduction by members of the </w:t>
      </w:r>
      <w:r w:rsidRPr="003532DF">
        <w:rPr>
          <w:i/>
        </w:rPr>
        <w:t>Methanoperedenaceae</w:t>
      </w:r>
      <w:r w:rsidRPr="003532DF">
        <w:t>. The ISME Journal 14, 1030-1041.</w:t>
      </w:r>
    </w:p>
    <w:p w:rsidR="00DB42FE" w:rsidRPr="003532DF" w:rsidRDefault="00DB42FE" w:rsidP="00616347">
      <w:pPr>
        <w:pStyle w:val="EndNoteBibliography"/>
        <w:ind w:left="360"/>
      </w:pPr>
      <w:r w:rsidRPr="003532DF">
        <w:t>https://doi.org/10.1038/s41396-020-0590-x</w:t>
      </w:r>
    </w:p>
    <w:p w:rsidR="00DB42FE" w:rsidRPr="003532DF" w:rsidRDefault="00DB42FE" w:rsidP="00616347">
      <w:pPr>
        <w:pStyle w:val="EndNoteBibliography"/>
        <w:spacing w:after="0"/>
        <w:ind w:left="360"/>
      </w:pPr>
      <w:r w:rsidRPr="003532DF">
        <w:t xml:space="preserve">Anaerobic oxidation of methane (AOM) is a major biological process that reduces global methane emission to the atmosphere. Anaerobic methanotrophic archaea (ANME) mediate this process through the coupling of methane oxidation to different electron acceptors, or in concert with a syntrophic bacterial partner. Recently, ANME belonging to the archaeal family </w:t>
      </w:r>
      <w:r w:rsidRPr="003532DF">
        <w:rPr>
          <w:i/>
        </w:rPr>
        <w:t>Methanoperedenaceae</w:t>
      </w:r>
      <w:r w:rsidRPr="003532DF">
        <w:t xml:space="preserve"> (formerly known as ANME-2d) were shown to be capable of AOM coupled to nitrate and iron reduction. Here, a freshwater sediment bioreactor fed with methane and Mn(IV) oxides (birnessite) resulted in a microbial community dominated by two novel members of the </w:t>
      </w:r>
      <w:r w:rsidRPr="003532DF">
        <w:rPr>
          <w:i/>
        </w:rPr>
        <w:t>Methanoperedenaceae</w:t>
      </w:r>
      <w:r w:rsidRPr="003532DF">
        <w:t xml:space="preserve">, with biochemical profiling of the system demonstrating Mn(IV)-dependent AOM. Genomic and transcriptomic analyses revealed the expression of key genes involved in methane oxidation and several shared multiheme </w:t>
      </w:r>
      <w:r w:rsidRPr="003532DF">
        <w:rPr>
          <w:i/>
        </w:rPr>
        <w:t>c</w:t>
      </w:r>
      <w:r w:rsidRPr="003532DF">
        <w:t>-type cytochromes (MHCs) that were differentially expressed, indicating the likely use of different extracellular electron transfer pathways. We propose the names “</w:t>
      </w:r>
      <w:r w:rsidRPr="003532DF">
        <w:rPr>
          <w:i/>
        </w:rPr>
        <w:t>Candidatus</w:t>
      </w:r>
      <w:r w:rsidRPr="003532DF">
        <w:t xml:space="preserve"> Methanoperedens manganicus” and “</w:t>
      </w:r>
      <w:r w:rsidRPr="003532DF">
        <w:rPr>
          <w:i/>
        </w:rPr>
        <w:t>Candidatus</w:t>
      </w:r>
      <w:r w:rsidRPr="003532DF">
        <w:t xml:space="preserve"> Methanoperedens manganireducens” for the two newly described </w:t>
      </w:r>
      <w:r w:rsidRPr="003532DF">
        <w:rPr>
          <w:i/>
        </w:rPr>
        <w:t>Methanoperedenaceae</w:t>
      </w:r>
      <w:r w:rsidRPr="003532DF">
        <w:t xml:space="preserve"> species. This study demonstrates the ability of members of the </w:t>
      </w:r>
      <w:r w:rsidRPr="003532DF">
        <w:rPr>
          <w:i/>
        </w:rPr>
        <w:t>Methanoperedenaceae</w:t>
      </w:r>
      <w:r w:rsidRPr="003532DF">
        <w:t xml:space="preserve"> to couple AOM to the reduction of Mn(IV) oxides, which suggests their potential role in linking methane and manganese cycling in the environment.</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Levett, A., Vasconcelos, P.M., Gagen, E.J., Rintoul, L., Spier, C., Guagliardo, P., Southam, G., </w:t>
      </w:r>
      <w:r w:rsidR="00616347">
        <w:t xml:space="preserve">2020. </w:t>
      </w:r>
      <w:r w:rsidRPr="003532DF">
        <w:t>Microbial weathering signatures in lateritic ferruginous duricrusts. Earth and Planetary Science Letters 538, 116209.</w:t>
      </w:r>
    </w:p>
    <w:p w:rsidR="00DB42FE" w:rsidRPr="003532DF" w:rsidRDefault="00DB42FE" w:rsidP="00616347">
      <w:pPr>
        <w:pStyle w:val="EndNoteBibliography"/>
        <w:ind w:left="360"/>
      </w:pPr>
      <w:r w:rsidRPr="003532DF">
        <w:t>http://www.sciencedirect.com/science/article/pii/S0012821X20301527</w:t>
      </w:r>
    </w:p>
    <w:p w:rsidR="00DB42FE" w:rsidRPr="003532DF" w:rsidRDefault="00DB42FE" w:rsidP="00616347">
      <w:pPr>
        <w:pStyle w:val="EndNoteBibliography"/>
        <w:spacing w:after="0"/>
        <w:ind w:left="360"/>
      </w:pPr>
      <w:r w:rsidRPr="003532DF">
        <w:t xml:space="preserve">Iron-rich duricrusts (canga) that blanket iron ore deposits in tropical regions in Brazil have a complex formation and evolution. The direct role of microorganisms in the biogeochemical cycling of iron and remarkably aluminium, which is critical for the preservation of these duricrusts, is becoming more apparent. In this study we combine nanoscale secondary ion mass spectrometry (NanoSIMS) with Raman spectroscopy and scanning electron microscopy to distinguish highly weathered and recycled grains, portions of which have been metasomatised by iron in solution, from new mineral </w:t>
      </w:r>
      <w:r w:rsidRPr="003532DF">
        <w:lastRenderedPageBreak/>
        <w:t>precipitates within canga. Microbially-accelerated weathering of grains within canga appears to promote iron, aluminium and titanium oxide mineral dissolution. Anatase forms at the boundaries of rutile grains, highlighting titanium dissolution and re-precipitation at the mineral-scale. Titanium is absent from the authigenic cements in canga. Aqueous ferrous iron, which is sensitive to changes in the oxidation potential of the solution, readily oxidises and re-precipitates in the pore spaces in proximity to preserved microorganisms, leaving aluminium as the most abundant cation in solution. Changes in solution pH and/or organic chemistry causes aluminium to precipitate from solution as gibbsite that infills pore spaces as the final geological texture. Evidence for microbially-promoted weathering includes the fossilisation of microorganisms along grain boundaries, in which aluminium, titanium, chromium and iron are depleted. Immobile elements including titanium, chromium and thorium, associated with rounded fossilised biofilms also indicate that microorganisms have completely weathered grains and become fossilised in place, texturally replacing the grain in the process. Microorganisms also play a role in iron and aluminium precipitation, providing sites for mineral nucleation. These results highlight the microscale changes in oxidation potential, pH and organic chemistry throughout canga that are likely to be influenced by the microbiome and associated flora. Understanding the role of microorganisms in iron biogeochemical cycling will contribute to the accelerated re-cementation of iron-rich duricrusts after the completion of iron ore mining, providing a substrate for revegetation using native plant species. This study also sheds light on direct (microfossils) and indirect (biologically-influenced element mobility) biosignatures in iron-rich geological materials.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Li, C., Zhang, Z., Jin, C., Cheng, M., Wang, H., Huang, J., Algeo, T.J., </w:t>
      </w:r>
      <w:r w:rsidR="00616347">
        <w:t xml:space="preserve">2020. </w:t>
      </w:r>
      <w:r w:rsidRPr="003532DF">
        <w:t>Spatiotemporal evolution and causes of marine euxinia in the early Cambrian Nanhua Basin (South China). Palaeogeography, Palaeoclimatology, Palaeoecology 546, 109676.</w:t>
      </w:r>
    </w:p>
    <w:p w:rsidR="00DB42FE" w:rsidRPr="003532DF" w:rsidRDefault="00DB42FE" w:rsidP="00616347">
      <w:pPr>
        <w:pStyle w:val="EndNoteBibliography"/>
        <w:ind w:left="360"/>
      </w:pPr>
      <w:r w:rsidRPr="003532DF">
        <w:t>http://www.sciencedirect.com/science/article/pii/S0031018220301218</w:t>
      </w:r>
    </w:p>
    <w:p w:rsidR="00DB42FE" w:rsidRPr="003532DF" w:rsidRDefault="00DB42FE" w:rsidP="00616347">
      <w:pPr>
        <w:pStyle w:val="EndNoteBibliography"/>
        <w:spacing w:after="0"/>
        <w:ind w:left="360"/>
      </w:pPr>
      <w:r w:rsidRPr="003532DF">
        <w:t>Marine redox conditions and their dynamic variations in the early Cambrian are thought to have strongly influenced the evolution of early animals. However, the patterns and mechanisms of contemporaneous marine redox variation remain poorly understood. The Nanhua Basin (South China) was a failed rift basin located between the Yangtze Block (NW margin) and Cathaysia Block (SE margin) in the early Cambrian. In this study, we conducted a comprehensive study of marine redox conditions, sulfur cycling, and chemical weathering intensity of source areas for the lower Cambrian shales of the Qingxi Formation in the basinal Shimensuidao section, which was geographically close to the Cathaysia Block. We integrated these results with previously published data from the nearby Silikou section as well as the coeval inner-shelf Xiaotan, upper-slope Daotuo, lower-slope Longbizui, and basinal Zhalagou sections, where were closer to the Yangtze Block. At Shimensuidao, iron species and redox-sensitive trace element data suggest dominantly euxinic conditions for the organic-rich black shale interval (lower member; LM) and variable redox conditions (oxic-ferruginous-euxinic) for the overlying organic-lean shales (upper member; UM) of the Qingxi Formation. Integrated redox results show a similar lessening of euxinic conditions from LM to UM across the entire basin and that euxinia developed along both the Yangtze and Cathaysia basin margins, but it was mainly in upper-slope areas (e.g., Daotuo) on the Yangtze margin and reached basinal areas (e.g., Silikou and Shimensuidao) on the Cathaysia margin. A decline of δ</w:t>
      </w:r>
      <w:r w:rsidRPr="003532DF">
        <w:rPr>
          <w:vertAlign w:val="superscript"/>
        </w:rPr>
        <w:t>34</w:t>
      </w:r>
      <w:r w:rsidRPr="003532DF">
        <w:t>S</w:t>
      </w:r>
      <w:r w:rsidRPr="003532DF">
        <w:rPr>
          <w:vertAlign w:val="subscript"/>
        </w:rPr>
        <w:t>py</w:t>
      </w:r>
      <w:r w:rsidRPr="003532DF">
        <w:t xml:space="preserve"> from LM to UM was observed at Shimensuidao and other sections, which can be explained by decreasing microbial sulfate reduction rates due to decreasing organic availability and increasing riverine sulfate flux at study sections. Lower δ</w:t>
      </w:r>
      <w:r w:rsidRPr="003532DF">
        <w:rPr>
          <w:vertAlign w:val="superscript"/>
        </w:rPr>
        <w:t>34</w:t>
      </w:r>
      <w:r w:rsidRPr="003532DF">
        <w:t>S</w:t>
      </w:r>
      <w:r w:rsidRPr="003532DF">
        <w:rPr>
          <w:vertAlign w:val="subscript"/>
        </w:rPr>
        <w:t>py</w:t>
      </w:r>
      <w:r w:rsidRPr="003532DF">
        <w:t xml:space="preserve"> values in shallow-marine relative to deep-marine areas suggest increased terrestrial sulfate availability to the shallower sites. Chemical index of </w:t>
      </w:r>
      <w:r w:rsidRPr="003532DF">
        <w:lastRenderedPageBreak/>
        <w:t>alteration (CIA) values at Shimensuidao are uniformly high for both the LM (CIA</w:t>
      </w:r>
      <w:r w:rsidRPr="003532DF">
        <w:rPr>
          <w:vertAlign w:val="subscript"/>
        </w:rPr>
        <w:t>corr1</w:t>
      </w:r>
      <w:r w:rsidRPr="003532DF">
        <w:t>: 82.5 ± 0.4, CIA</w:t>
      </w:r>
      <w:r w:rsidRPr="003532DF">
        <w:rPr>
          <w:vertAlign w:val="subscript"/>
        </w:rPr>
        <w:t>corr2</w:t>
      </w:r>
      <w:r w:rsidRPr="003532DF">
        <w:t>: 88.6 ± 0.5) and UM (CIA</w:t>
      </w:r>
      <w:r w:rsidRPr="003532DF">
        <w:rPr>
          <w:vertAlign w:val="subscript"/>
        </w:rPr>
        <w:t>corr1</w:t>
      </w:r>
      <w:r w:rsidRPr="003532DF">
        <w:t>: 80.2 ± 2.3, CIA</w:t>
      </w:r>
      <w:r w:rsidRPr="003532DF">
        <w:rPr>
          <w:vertAlign w:val="subscript"/>
        </w:rPr>
        <w:t>corr2</w:t>
      </w:r>
      <w:r w:rsidRPr="003532DF">
        <w:t>: 86.2 ± 2.5) compared with the low-to moderate values at Daotuo (CIA</w:t>
      </w:r>
      <w:r w:rsidRPr="003532DF">
        <w:rPr>
          <w:vertAlign w:val="subscript"/>
        </w:rPr>
        <w:t>corr2</w:t>
      </w:r>
      <w:r w:rsidRPr="003532DF">
        <w:t>: 61.9 ± 3.9 for LM, 71.3 ± 4.8 for UM). This pattern is consistent with intense chemical weathering of source areas on the Cathaysia Block and weaker chemical weathering of source areas on the Yangtze Block. Based on these observations, we propose that strong chemical weathering of the Cathaysia Block led to regionally high terrigenous sulfate fluxes, resulting in expansion of mid-depth euxinia into deep basinal areas on the Cathaysia margin of the Nanhua Basin. In contrast, weak chemical weathering of the Yangtze Block yielded lower terrigenous sulfate fluxes, limiting euxinia to upper slope areas on the Yangtze margin of the basin. Weaker euxinia during UM deposition may have been due to its decreasing organic availability and/or small seawater sulfate reservoir caused by persistent euxinic consumption during LM deposition. Our results highlight the complex controls and the key role of continental weathering and resulting terrigenous sulfate fluxes in marine euxinic variations in early Cambrian marginal seas, providing new insights into the co-evolution of continents, oceans, and early animals.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Li, J., Li, B., Ren, C., Yang, K., Zhang, Y., </w:t>
      </w:r>
      <w:r w:rsidR="00616347">
        <w:t xml:space="preserve">2020. </w:t>
      </w:r>
      <w:r w:rsidRPr="003532DF">
        <w:t>Characterization of methane adsorption behavior on wet shale under different temperature conditions. Energy &amp; Fuels 34, 2832-2848.</w:t>
      </w:r>
    </w:p>
    <w:p w:rsidR="00DB42FE" w:rsidRPr="003532DF" w:rsidRDefault="00DB42FE" w:rsidP="00616347">
      <w:pPr>
        <w:pStyle w:val="EndNoteBibliography"/>
        <w:ind w:left="360"/>
      </w:pPr>
      <w:r w:rsidRPr="003532DF">
        <w:t>https://doi.org/10.1021/acs.energyfuels.9b03929</w:t>
      </w:r>
    </w:p>
    <w:p w:rsidR="00DB42FE" w:rsidRPr="003532DF" w:rsidRDefault="00DB42FE" w:rsidP="00616347">
      <w:pPr>
        <w:pStyle w:val="EndNoteBibliography"/>
        <w:spacing w:after="0"/>
        <w:ind w:left="360"/>
      </w:pPr>
      <w:r w:rsidRPr="003532DF">
        <w:t xml:space="preserve">Shale gas is usually found present in a mixture of gas and water under subsurface reservoir conditions. It is well-known that water inhibits its adsorption of methane and that higher or lower temperatures have a negative effect on the methane adsorption capacity of shale. To evaluate these effects quantitatively, we constructed a shale adsorption model to consider the joint effects of water and temperature combining the two to analyze the influence mechanism of temperature and water content on methane adsorption behavior in shale. Considerable experimental data were used to validate the proposed model, and the rationality of the model was illustrated through the similarity between the experimental data and the model. In this study, adsorption capacity of all of the shale samples decreased with increasing water content. Under low-pressure conditions, the amount of shale adsorption increased with increasing equilibrium pressure. Under high-pressure conditions, the density of the free phase of the gas gradually increased, and the adsorption capacity measured, by the volumetric method, often ignored the volume occupied by the adsorption phase. Furthermore, shale adsorption also showed a decreasing trend during an increase in temperature. However, the influence of water and temperature on the adsorption amount had a complicated negative effect. During an increase of temperature and moisture, the adsorption amount decreased. In addition, the pore structure characteristics also had a certain influence on adsorption. Nonetheless, pore surface and pore structure characteristics had different effects on adsorption. We used fractal dimensions </w:t>
      </w:r>
      <w:r w:rsidRPr="003532DF">
        <w:rPr>
          <w:i/>
        </w:rPr>
        <w:t>D</w:t>
      </w:r>
      <w:r w:rsidRPr="003532DF">
        <w:rPr>
          <w:vertAlign w:val="subscript"/>
        </w:rPr>
        <w:t>1</w:t>
      </w:r>
      <w:r w:rsidRPr="003532DF">
        <w:t xml:space="preserve"> and </w:t>
      </w:r>
      <w:r w:rsidRPr="003532DF">
        <w:rPr>
          <w:i/>
        </w:rPr>
        <w:t>D</w:t>
      </w:r>
      <w:r w:rsidRPr="003532DF">
        <w:rPr>
          <w:vertAlign w:val="subscript"/>
        </w:rPr>
        <w:t>2</w:t>
      </w:r>
      <w:r w:rsidRPr="003532DF">
        <w:t xml:space="preserve"> to represent shale surface features and pore structures, respectively. The adsorption capacity increased with the increase of the fractal dimension </w:t>
      </w:r>
      <w:r w:rsidRPr="003532DF">
        <w:rPr>
          <w:i/>
        </w:rPr>
        <w:t>D</w:t>
      </w:r>
      <w:r w:rsidRPr="003532DF">
        <w:rPr>
          <w:vertAlign w:val="subscript"/>
        </w:rPr>
        <w:t>1</w:t>
      </w:r>
      <w:r w:rsidRPr="003532DF">
        <w:t xml:space="preserve">. The relationship between </w:t>
      </w:r>
      <w:r w:rsidRPr="003532DF">
        <w:rPr>
          <w:i/>
        </w:rPr>
        <w:t>D</w:t>
      </w:r>
      <w:r w:rsidRPr="003532DF">
        <w:rPr>
          <w:vertAlign w:val="subscript"/>
        </w:rPr>
        <w:t>2</w:t>
      </w:r>
      <w:r w:rsidRPr="003532DF">
        <w:t xml:space="preserve"> and the adsorption amount was not significant, which might be related to the influence of water content.</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Li, J., Mara, P., Schubotz, F., Sylvan, J.B., Burgaud, G., Klein, F., Beaudoin, D., Wee, S.Y., Dick, H.J.B., Lott, S., Cox, R., Meyer, L.A.E., Quémener, M., Blackman, D.K., Edgcomb, V.P., </w:t>
      </w:r>
      <w:r w:rsidR="00616347">
        <w:t xml:space="preserve">2020. </w:t>
      </w:r>
      <w:r w:rsidRPr="003532DF">
        <w:t>Recycling and metabolic flexibility dictate life in the lower oceanic crust. Nature 579, 250-255.</w:t>
      </w:r>
    </w:p>
    <w:p w:rsidR="00DB42FE" w:rsidRPr="003532DF" w:rsidRDefault="00DB42FE" w:rsidP="00616347">
      <w:pPr>
        <w:pStyle w:val="EndNoteBibliography"/>
        <w:ind w:left="360"/>
      </w:pPr>
      <w:r w:rsidRPr="003532DF">
        <w:t>https://doi.org/10.1038/s41586-020-2075-5</w:t>
      </w:r>
    </w:p>
    <w:p w:rsidR="00DB42FE" w:rsidRPr="003532DF" w:rsidRDefault="00DB42FE" w:rsidP="00616347">
      <w:pPr>
        <w:pStyle w:val="EndNoteBibliography"/>
        <w:spacing w:after="0"/>
        <w:ind w:left="360"/>
      </w:pPr>
      <w:r w:rsidRPr="003532DF">
        <w:lastRenderedPageBreak/>
        <w:t>The lithified lower oceanic crust is one of Earth’s last biological frontiers as it is difficult to access. It is challenging for microbiota that live in marine subsurface sediments or igneous basement to obtain sufficient carbon resources and energy to support growth1–3 or to meet basal power requirements4 during periods of resource scarcity. Here we show how limited and unpredictable sources of carbon and energy dictate survival strategies used by low-biomass microbial communities that live 10–750 m below the seafloor at Atlantis Bank, Indian Ocean, where Earth’s lower crust is exposed at the seafloor. Assays of enzyme activities, lipid biomarkers, marker genes and microscopy indicate heterogeneously distributed and viable biomass with ultralow cell densities (fewer than 2,000 cells per cm3). Expression of genes involved in unexpected heterotrophic processes includes those with a role in the degradation of polyaromatic hydrocarbons, use of polyhydroxyalkanoates as carbon-storage molecules and recycling of amino acids to produce compounds that can participate in redox reactions and energy production. Our study provides insights into how microorganisms in the plutonic crust are able to survive within fractures or porous substrates by coupling sources of energy to organic and inorganic carbon resources that are probably delivered through the circulation of subseafloor fluids or seawater.</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Li, J., Wang, Y., Chen, Z., Rahman, S.S., </w:t>
      </w:r>
      <w:r w:rsidR="00616347">
        <w:t xml:space="preserve">2020. </w:t>
      </w:r>
      <w:r w:rsidRPr="003532DF">
        <w:t>Simulation of adsorption–desorption behavior in coal seam gas reservoirs at the molecular level: A comprehensive review. Energy &amp; Fuels 34, 2619-2642.</w:t>
      </w:r>
    </w:p>
    <w:p w:rsidR="00DB42FE" w:rsidRPr="003532DF" w:rsidRDefault="00DB42FE" w:rsidP="00616347">
      <w:pPr>
        <w:pStyle w:val="EndNoteBibliography"/>
        <w:ind w:left="360"/>
      </w:pPr>
      <w:r w:rsidRPr="003532DF">
        <w:t>https://doi.org/10.1021/acs.energyfuels.9b02815</w:t>
      </w:r>
    </w:p>
    <w:p w:rsidR="00DB42FE" w:rsidRPr="003532DF" w:rsidRDefault="00DB42FE" w:rsidP="00616347">
      <w:pPr>
        <w:pStyle w:val="EndNoteBibliography"/>
        <w:spacing w:after="0"/>
        <w:ind w:left="360"/>
      </w:pPr>
      <w:r w:rsidRPr="003532DF">
        <w:t>This work reviews the processes of methane (CH</w:t>
      </w:r>
      <w:r w:rsidRPr="003532DF">
        <w:rPr>
          <w:vertAlign w:val="subscript"/>
        </w:rPr>
        <w:t>4</w:t>
      </w:r>
      <w:r w:rsidRPr="003532DF">
        <w:t>) and carbon dioxide (CO</w:t>
      </w:r>
      <w:r w:rsidRPr="003532DF">
        <w:rPr>
          <w:vertAlign w:val="subscript"/>
        </w:rPr>
        <w:t>2</w:t>
      </w:r>
      <w:r w:rsidRPr="003532DF">
        <w:t>) adsorption and desorption, as well as the displacement of CH</w:t>
      </w:r>
      <w:r w:rsidRPr="003532DF">
        <w:rPr>
          <w:vertAlign w:val="subscript"/>
        </w:rPr>
        <w:t>4</w:t>
      </w:r>
      <w:r w:rsidRPr="003532DF">
        <w:t xml:space="preserve"> by CO</w:t>
      </w:r>
      <w:r w:rsidRPr="003532DF">
        <w:rPr>
          <w:vertAlign w:val="subscript"/>
        </w:rPr>
        <w:t>2</w:t>
      </w:r>
      <w:r w:rsidRPr="003532DF">
        <w:t>, at the molecular level. For the adsorbate, laboratory experiments and numerical simulations have been carried out to examine the adsorption and desorption behavior of CH</w:t>
      </w:r>
      <w:r w:rsidRPr="003532DF">
        <w:rPr>
          <w:vertAlign w:val="subscript"/>
        </w:rPr>
        <w:t>4</w:t>
      </w:r>
      <w:r w:rsidRPr="003532DF">
        <w:t xml:space="preserve"> and CO</w:t>
      </w:r>
      <w:r w:rsidRPr="003532DF">
        <w:rPr>
          <w:vertAlign w:val="subscript"/>
        </w:rPr>
        <w:t>2</w:t>
      </w:r>
      <w:r w:rsidRPr="003532DF">
        <w:t>. For the adsorbent, graphite, graphene, carbon nanotube, and heteroatom-containing carbon-based models have been developed for adsorption and desorption processes. In recent decades, simulations of carbon dioxide enhanced coalbed methane (CO</w:t>
      </w:r>
      <w:r w:rsidRPr="003532DF">
        <w:rPr>
          <w:vertAlign w:val="subscript"/>
        </w:rPr>
        <w:t>2</w:t>
      </w:r>
      <w:r w:rsidRPr="003532DF">
        <w:t>-ECBM) have achieved significant progress. This success has generated significant interest among the scientific communities, as coalbed methane is one of the cleanest forms of energy. Furthermore, an improved understanding of this process can help to sequester CO</w:t>
      </w:r>
      <w:r w:rsidRPr="003532DF">
        <w:rPr>
          <w:vertAlign w:val="subscript"/>
        </w:rPr>
        <w:t>2</w:t>
      </w:r>
      <w:r w:rsidRPr="003532DF">
        <w:t xml:space="preserve"> in deep unminable coal seam gas reservoirs to mitigate CO</w:t>
      </w:r>
      <w:r w:rsidRPr="003532DF">
        <w:rPr>
          <w:vertAlign w:val="subscript"/>
        </w:rPr>
        <w:t>2</w:t>
      </w:r>
      <w:r w:rsidRPr="003532DF">
        <w:t xml:space="preserve"> emission. This work reviews the advantages and weaknesses of three simulation methods, namely, molecular dynamics (MD), Monte Carlo (MC), and the density functional theory (DFT), with respect to their applications in CO</w:t>
      </w:r>
      <w:r w:rsidRPr="003532DF">
        <w:rPr>
          <w:vertAlign w:val="subscript"/>
        </w:rPr>
        <w:t>2</w:t>
      </w:r>
      <w:r w:rsidRPr="003532DF">
        <w:t>-ECBM and CO</w:t>
      </w:r>
      <w:r w:rsidRPr="003532DF">
        <w:rPr>
          <w:vertAlign w:val="subscript"/>
        </w:rPr>
        <w:t>2</w:t>
      </w:r>
      <w:r w:rsidRPr="003532DF">
        <w:t xml:space="preserve"> sequestration in CBM. Based on such simulations, dynamic and thermodynamic properties have been analyzed to evaluate the effectiveness of CO</w:t>
      </w:r>
      <w:r w:rsidRPr="003532DF">
        <w:rPr>
          <w:vertAlign w:val="subscript"/>
        </w:rPr>
        <w:t>2</w:t>
      </w:r>
      <w:r w:rsidRPr="003532DF">
        <w:t>-ECBM and CO</w:t>
      </w:r>
      <w:r w:rsidRPr="003532DF">
        <w:rPr>
          <w:vertAlign w:val="subscript"/>
        </w:rPr>
        <w:t>2</w:t>
      </w:r>
      <w:r w:rsidRPr="003532DF">
        <w:t xml:space="preserve"> sequestration. In recent studies, MD simulation has been commonly used to optimize the configuration of the adsorbate and adsorbent, as well as to define the self-diffusion coefficient and mean squared distance. However, this approach only works for a small atomic system or a short time simulation process. MC, on the other hand, is used to predict the adsorption behavior of pure component and binary and ternary mixtures of adsorbates. Nevertheless, the simulation cannot obtain information on the dynamic processes. Meanwhile, DFT is commonly used to predict the adsorption site, orientation, and adsorption energy. Dynamic and thermodynamic properties are discussed based on the three simulation methods. Certain aspects facing the future are also addressed.</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Li, W., Cao, J., Shi, C., Xu, T., Zhang, H., Zhang, Y., </w:t>
      </w:r>
      <w:r w:rsidR="00616347">
        <w:t xml:space="preserve">2020. </w:t>
      </w:r>
      <w:r w:rsidRPr="003532DF">
        <w:t>Shale oil in saline lacustrine systems: A perspective of complex lithologies of fine-grained rocks. Marine and Petroleum Geology 116, 104351.</w:t>
      </w:r>
    </w:p>
    <w:p w:rsidR="00DB42FE" w:rsidRPr="003532DF" w:rsidRDefault="00DB42FE" w:rsidP="00616347">
      <w:pPr>
        <w:pStyle w:val="EndNoteBibliography"/>
        <w:ind w:left="360"/>
      </w:pPr>
      <w:r w:rsidRPr="003532DF">
        <w:lastRenderedPageBreak/>
        <w:t>http://www.sciencedirect.com/science/article/pii/S0264817220301343</w:t>
      </w:r>
    </w:p>
    <w:p w:rsidR="00DB42FE" w:rsidRPr="003532DF" w:rsidRDefault="00DB42FE" w:rsidP="00616347">
      <w:pPr>
        <w:pStyle w:val="EndNoteBibliography"/>
        <w:spacing w:after="0"/>
        <w:ind w:left="360"/>
      </w:pPr>
      <w:r w:rsidRPr="003532DF">
        <w:t>Fine-grained sedimentary rocks deposited in saline lakes are an important target for shale oil exploration worldwide. The complex lithologies of such rocks control their shale oil potential, and thus it is essential to study their lithofacies to better understand these controls. In this study, we investigated the fine-grained sedimentary rocks of the Eocene Shahejie Formation in the Dongpu sag, Bohai Bay Basin, eastern China. The mineralogy, sedimentary features, and organic matter content can be used to divide the fine-grained sedimentary rocks into three types and six sub-types: siliceous limestones (organic-rich and laminated, organic-rich and massive, organic-bearing and laminated, and organic-bearing and massive), calcareous siltstones (organic-bearing and massive), and mixed lithologies (organic-bearing and massive). The organic-rich and laminated siliceous limestones (with dissolution fractures between laminae) and organic-bearing massive calcareous siltstones (with interparticle pores between quartz and feldspar) show the highest porosity and shale oil potential. For the organic-rich laminated siliceous limestones with organic matters in the main hydrocarbon generation stage, the high shale oil potential is mainly due to the favorable reservoir quality. In comparison, there are few organic matters present in the organic-bearing massive calcareous siltstones and, as such, the oil potential of this type of lithofacies depends on whether there is a good source rock close to the thin silty interbeds. These results will guide shale oil exploration in the Dongpu sag. Our data suggest the complexity of shale oil accumulation in saline lacustrine systems as controlled by the different lithofacies with various factors.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Li, X., </w:t>
      </w:r>
      <w:r w:rsidR="00616347">
        <w:t xml:space="preserve">2020. </w:t>
      </w:r>
      <w:r w:rsidRPr="003532DF">
        <w:t>Accumulation conditions and key exploration &amp; development technologies of heavy oil in Huanxiling oilfield in Liaohe depression, Bohai Bay Basin. Petroleum Research 5, 18-38.</w:t>
      </w:r>
    </w:p>
    <w:p w:rsidR="00DB42FE" w:rsidRPr="003532DF" w:rsidRDefault="00DB42FE" w:rsidP="00616347">
      <w:pPr>
        <w:pStyle w:val="EndNoteBibliography"/>
        <w:ind w:left="360"/>
      </w:pPr>
      <w:r w:rsidRPr="003532DF">
        <w:t>http://www.sciencedirect.com/science/article/pii/S2096249520300041</w:t>
      </w:r>
    </w:p>
    <w:p w:rsidR="00DB42FE" w:rsidRPr="003532DF" w:rsidRDefault="00DB42FE" w:rsidP="00616347">
      <w:pPr>
        <w:pStyle w:val="EndNoteBibliography"/>
        <w:spacing w:after="0"/>
        <w:ind w:left="360"/>
      </w:pPr>
      <w:r w:rsidRPr="003532DF">
        <w:t xml:space="preserve">The Huanxiling oilfield is located in the southern part of the western slope of the western sag in Liaohe depression. The west side of this oilfield is connected with two sets of high-quality source rocks of Member 3 and Member 4 of Shahejie Formation in Qingshui sub-sag. The oilfield has fan delta, turbidite fan and other types of reservoirs, it also has cap rock of thick mudstone in Member 3 and Member 4 of Shahejie Formation. Under background of the warped basement, the warped fault-block draped compound trap zone are developed, which includes nine types of trap. From perspective of hydrocarbon accumulation, the slope of this area has always been the target area for hydrocarbon migration and accumulation. Inclusion analysis shows that there are multiple stages of hydrocarbon charging in this area, and the main reservoir forming period is the sedimentary period of Member 3 of Shahejie Formation and the sedimentary period of Dongying Formation. High-quality source-reservoir-cap conditions ensure large-scale hydrocarbon accumulation in this area. Based on the theory of compound hydrocarbon accumulation, many types of oil and gas reservoirs, including light oil reservoir and heavy oil reservoir, have been found in this area, with total reserves of 500 million tons. In view of the oilfield characterized by large reservoir burial span, multiple oil-bearing strata, strong heterogeneity and various types of oils, multi-batch seismic data processing &amp; interpretation technology and thin reservoir inversion technology based on geological model are established in the preliminary exploration period, steam-flooding physical simulation technology of heavy oil, oil-reservoir fine description technology of thermal recovery heavy oil, steam huff and puff technology of ordinary heavy oil and steam-flooding technology of mid-deep buried heavy oil are developed in the development period, and technologies such as separate-layer injection, selective injection, sand control and lifting of heavy oil are matched and improved. These </w:t>
      </w:r>
      <w:r w:rsidRPr="003532DF">
        <w:lastRenderedPageBreak/>
        <w:t>technology series provides technical guarantee for efficient exploration and development of Huanxiling oilfield.</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Li, X., Wang, Y., Wang, H., </w:t>
      </w:r>
      <w:r w:rsidR="00616347">
        <w:t xml:space="preserve">2020. </w:t>
      </w:r>
      <w:r w:rsidRPr="003532DF">
        <w:t>Microbially induced sedimentary structures (MISS) in Mesoproterozoic Changzhougou Formation sandstone, Xingcheng area, Liaoning Province, China. Acta Sedimentologica Sinica 38, 32-45.</w:t>
      </w:r>
    </w:p>
    <w:p w:rsidR="00DB42FE" w:rsidRPr="003532DF" w:rsidRDefault="00DB42FE" w:rsidP="00616347">
      <w:pPr>
        <w:pStyle w:val="EndNoteBibliography"/>
        <w:ind w:left="360"/>
      </w:pPr>
      <w:r w:rsidRPr="003532DF">
        <w:t>http://www.cjxb.ac.cn/EN/abstract/abstract4069.shtml</w:t>
      </w:r>
    </w:p>
    <w:p w:rsidR="00DB42FE" w:rsidRPr="003532DF" w:rsidRDefault="00DB42FE" w:rsidP="00616347">
      <w:pPr>
        <w:pStyle w:val="EndNoteBibliography"/>
        <w:spacing w:after="0"/>
        <w:ind w:left="360"/>
      </w:pPr>
      <w:r w:rsidRPr="003532DF">
        <w:t>Numerous crack structures are found in the intertidal facies sandstone of the Mesoproterozoic Changzhougou Formation in Jiashan,Xingcheng area,Liaoning Province. The structures comprise 0.8-3.0 cm spindle-shaped short cracks,and extended cracks over 7 cm long. They are mainly isolated,some partially connected. By comparing them with other similar surface crack structures and the desiccation cracks developed in modern microbial mats,they are explained as shrinkage cracks in microbial mats('mat-cracks'). Unconnected spindle-shaped mat-cracks indicate incomplete mat shrinkage;mat-crack polygons form when shrinkage is complete. The presence of MISS indicates that the microbial ecosystem was already affecting the paleocoastal geological processes during the early transgression stage of the North China Craton in the Mesoproterozoic. This information is crucial for reconstructing the biosedimentary mechanisms and paleoenvironment of the aulacogenic Yanshan Basin during its early evolution.</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Li, Y., Jing, H., Kao, S.-J., Zhang, W., Liu, H., </w:t>
      </w:r>
      <w:r w:rsidR="00616347">
        <w:t xml:space="preserve">2020. </w:t>
      </w:r>
      <w:r w:rsidRPr="003532DF">
        <w:t>Metabolic response of prokaryotic microbes to sporadic hypoxia in a eutrophic subtropical estuary. Marine Pollution Bulletin 154, 111064.</w:t>
      </w:r>
    </w:p>
    <w:p w:rsidR="00DB42FE" w:rsidRPr="003532DF" w:rsidRDefault="00DB42FE" w:rsidP="00616347">
      <w:pPr>
        <w:pStyle w:val="EndNoteBibliography"/>
        <w:ind w:left="360"/>
      </w:pPr>
      <w:r w:rsidRPr="003532DF">
        <w:t>http://www.sciencedirect.com/science/article/pii/S0025326X2030182X</w:t>
      </w:r>
    </w:p>
    <w:p w:rsidR="00DB42FE" w:rsidRPr="003532DF" w:rsidRDefault="00DB42FE" w:rsidP="00616347">
      <w:pPr>
        <w:pStyle w:val="EndNoteBibliography"/>
        <w:spacing w:after="0"/>
        <w:ind w:left="360"/>
      </w:pPr>
      <w:r w:rsidRPr="003532DF">
        <w:t>Coastal eutrophication and consequent oxygen depletion (hypoxia) occurs worldwide due to increased human activity. The paucity of genomic information of microbes in hypoxia prone coastal waters have hindered our understanding of microorganism related causation and adaption to the environment. Here, using metagenomic approach, we investigated microbial metabolic capability in heavily polluted Pearl River estuary. Our results highlighted the possible roles of microbial metabolic activity in the formation of bottom water hypoxia by revealing enriched organic degradation related microbial genes in the bottom layer beneath surface phytoplankton bloom. Microbial nitrate reduction in hypoxia layer was low, possibly due to the low pH and fluctuating oxygen level. On contrary, high abundance of sulfate-reducing, and antibiotic and metal resistance related genes were detected in bottom and surface layers, respectively, indicating microbial adaptation to oxygen depletion and pollution. Our study provides gene level information on the interactive relations between microbial functions and environmental stress.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Li, Y., Tian, Y., Guo, H., Wei, S., Cao, J., Huang, C., Shi, F., Rao, Z., </w:t>
      </w:r>
      <w:r w:rsidR="00616347">
        <w:t xml:space="preserve">2020. </w:t>
      </w:r>
      <w:r w:rsidRPr="003532DF">
        <w:t>Complex “human−vegetation−climate” interactions in the Late Holocene and their significance for paleotemperature reconstructions. Proceedings of the National Academy of Sciences 117, 5568.</w:t>
      </w:r>
    </w:p>
    <w:p w:rsidR="00DB42FE" w:rsidRPr="003532DF" w:rsidRDefault="00DB42FE" w:rsidP="00616347">
      <w:pPr>
        <w:pStyle w:val="EndNoteBibliography"/>
        <w:ind w:left="360"/>
      </w:pPr>
      <w:r w:rsidRPr="003532DF">
        <w:t>http://www.pnas.org/content/117/11/5568.abstract</w:t>
      </w:r>
    </w:p>
    <w:p w:rsidR="00DB42FE" w:rsidRPr="003532DF" w:rsidRDefault="00DB42FE" w:rsidP="00616347">
      <w:pPr>
        <w:pStyle w:val="EndNoteBibliography"/>
        <w:ind w:left="360"/>
      </w:pPr>
      <w:r w:rsidRPr="003532DF">
        <w:t xml:space="preserve">Using 3,980 </w:t>
      </w:r>
      <w:r w:rsidRPr="003532DF">
        <w:rPr>
          <w:vertAlign w:val="superscript"/>
        </w:rPr>
        <w:t>14</w:t>
      </w:r>
      <w:r w:rsidRPr="003532DF">
        <w:t>C ages and 43,669 pollen data from 632 globally distributed lakes (</w:t>
      </w:r>
      <w:r w:rsidRPr="003532DF">
        <w:rPr>
          <w:rFonts w:ascii="Cambria Math" w:hAnsi="Cambria Math" w:cs="Cambria Math"/>
        </w:rPr>
        <w:t>∼</w:t>
      </w:r>
      <w:r w:rsidRPr="003532DF">
        <w:t>88% of them in North America and Europe; Fig. 1</w:t>
      </w:r>
      <w:r w:rsidRPr="003532DF">
        <w:rPr>
          <w:i/>
        </w:rPr>
        <w:t>A</w:t>
      </w:r>
      <w:r w:rsidRPr="003532DF">
        <w:t xml:space="preserve">), Jenny et al. (1) demonstrate that increased soil erosion rates </w:t>
      </w:r>
      <w:r w:rsidRPr="003532DF">
        <w:lastRenderedPageBreak/>
        <w:t>(Fig. 1</w:t>
      </w:r>
      <w:r w:rsidRPr="003532DF">
        <w:rPr>
          <w:i/>
        </w:rPr>
        <w:t>B</w:t>
      </w:r>
      <w:r w:rsidRPr="003532DF">
        <w:t>) and decreased tree coverage (Fig. 1</w:t>
      </w:r>
      <w:r w:rsidRPr="003532DF">
        <w:rPr>
          <w:i/>
        </w:rPr>
        <w:t>C</w:t>
      </w:r>
      <w:r w:rsidRPr="003532DF">
        <w:t xml:space="preserve">) have occurred in lake watersheds across a substantial portion of Earth’s surface since </w:t>
      </w:r>
      <w:r w:rsidRPr="003532DF">
        <w:rPr>
          <w:rFonts w:ascii="Cambria Math" w:hAnsi="Cambria Math" w:cs="Cambria Math"/>
        </w:rPr>
        <w:t>∼</w:t>
      </w:r>
      <w:r w:rsidRPr="003532DF">
        <w:t>4,000 y BP. Besides, using climate model results (Fig. 1</w:t>
      </w:r>
      <w:r w:rsidRPr="003532DF">
        <w:rPr>
          <w:i/>
        </w:rPr>
        <w:t>D</w:t>
      </w:r>
      <w:r w:rsidRPr="003532DF">
        <w:t>), they propose that the Late Holocene tree coverage decreases were caused mainly by anthropogenic deforestation (1). Notably, the model-deduced Late Holocene slight cooling trends in North America and Europe (1) (Fig. 1</w:t>
      </w:r>
      <w:r w:rsidRPr="003532DF">
        <w:rPr>
          <w:i/>
        </w:rPr>
        <w:t>D</w:t>
      </w:r>
      <w:r w:rsidRPr="003532DF">
        <w:t>) are the opposite of the slight global warming trends indicated by other models (2) (Fig. 1</w:t>
      </w:r>
      <w:r w:rsidRPr="003532DF">
        <w:rPr>
          <w:i/>
        </w:rPr>
        <w:t>E</w:t>
      </w:r>
      <w:r w:rsidRPr="003532DF">
        <w:t xml:space="preserve">); arguably, it is problematic to use model results to determine a “climate−vegetation” relationship. Moreover, the model-deduced slight cooling trends since </w:t>
      </w:r>
      <w:r w:rsidRPr="003532DF">
        <w:rPr>
          <w:rFonts w:ascii="Cambria Math" w:hAnsi="Cambria Math" w:cs="Cambria Math"/>
        </w:rPr>
        <w:t>∼</w:t>
      </w:r>
      <w:r w:rsidRPr="003532DF">
        <w:t>4,000 y BP (1) (Fig. 1</w:t>
      </w:r>
      <w:r w:rsidRPr="003532DF">
        <w:rPr>
          <w:i/>
        </w:rPr>
        <w:t>D</w:t>
      </w:r>
      <w:r w:rsidRPr="003532DF">
        <w:t>) are supported by a synthesized global mean temperature record (3) (Fig. 1</w:t>
      </w:r>
      <w:r w:rsidRPr="003532DF">
        <w:rPr>
          <w:i/>
        </w:rPr>
        <w:t>F</w:t>
      </w:r>
      <w:r w:rsidRPr="003532DF">
        <w:t>). However, only 4 out of the 73 selected records (Fig. 1</w:t>
      </w:r>
      <w:r w:rsidRPr="003532DF">
        <w:rPr>
          <w:i/>
        </w:rPr>
        <w:t>A</w:t>
      </w:r>
      <w:r w:rsidRPr="003532DF">
        <w:t>) comprising the synthesized record are terrestrial records (3).</w:t>
      </w:r>
    </w:p>
    <w:p w:rsidR="00DB42FE" w:rsidRPr="003532DF" w:rsidRDefault="00DB42FE" w:rsidP="00616347">
      <w:pPr>
        <w:pStyle w:val="EndNoteBibliography"/>
        <w:ind w:left="360"/>
      </w:pPr>
      <w:r w:rsidRPr="003532DF">
        <w:t>Comment on: Jenny, J.-P., Koirala, S., Gregory-Eaves, I., Francus, P., Niemann, C., Ahrens, B., Brovkin, V., Baud, A., Ojala, A.E.K., Normandeau, A., Zolitschka, B., Carvalhais, N., 2019. Human and climate global-scale imprint on sediment transfer during the Holocene. Proceedings of the National Academy of Sciences 116, 22972-22976</w:t>
      </w:r>
    </w:p>
    <w:p w:rsidR="00DB42FE" w:rsidRPr="003532DF" w:rsidRDefault="00DB42FE" w:rsidP="000A2352">
      <w:pPr>
        <w:pStyle w:val="EndNoteBibliography"/>
        <w:spacing w:after="0"/>
        <w:ind w:left="360"/>
      </w:pPr>
      <w:r w:rsidRPr="003532DF">
        <w:t xml:space="preserve">Reply to commment: Jenny, J.-P., Koirala, S., Gregory-Eaves, I., Francus, P., Ahrens, B., Brovkin, V., Ojala, A.E.K., Zolitschka, B., Bader, J., Carvalhais, N., </w:t>
      </w:r>
      <w:r w:rsidR="00616347">
        <w:t xml:space="preserve">2020. </w:t>
      </w:r>
      <w:r w:rsidRPr="003532DF">
        <w:t>Reply to Li et al.: Human societies began to play a significant role in global sediment transfer 4,000 years ago. Proceedings of the National Academy of Sciences 117, 5571.</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Li, Z., Liu, D., Cai, Y., Si, G., Wang, Y., </w:t>
      </w:r>
      <w:r w:rsidR="00616347">
        <w:t xml:space="preserve">2020. </w:t>
      </w:r>
      <w:r w:rsidRPr="003532DF">
        <w:t>Pore structure and compressibility characteristics of heat-treated coals by N</w:t>
      </w:r>
      <w:r w:rsidRPr="003532DF">
        <w:rPr>
          <w:vertAlign w:val="subscript"/>
        </w:rPr>
        <w:t>2</w:t>
      </w:r>
      <w:r w:rsidRPr="003532DF">
        <w:t xml:space="preserve"> adsorption/desorption and mercury intrusion porosimetry. Energy &amp; Fuels 34, 3173-3187.</w:t>
      </w:r>
    </w:p>
    <w:p w:rsidR="00DB42FE" w:rsidRPr="003532DF" w:rsidRDefault="00DB42FE" w:rsidP="00616347">
      <w:pPr>
        <w:pStyle w:val="EndNoteBibliography"/>
        <w:ind w:left="360"/>
      </w:pPr>
      <w:r w:rsidRPr="003532DF">
        <w:t>https://doi.org/10.1021/acs.energyfuels.0c00135</w:t>
      </w:r>
    </w:p>
    <w:p w:rsidR="00DB42FE" w:rsidRPr="003532DF" w:rsidRDefault="00DB42FE" w:rsidP="00616347">
      <w:pPr>
        <w:pStyle w:val="EndNoteBibliography"/>
        <w:spacing w:after="0"/>
        <w:ind w:left="360"/>
      </w:pPr>
      <w:r w:rsidRPr="003532DF">
        <w:t>To improve the physical properties of a coal reservoir with heat treatment and enhance the coalbed methane recovery, the characteristics of gas generation and pore structure evolution of different rank coals during heat treatment were investigated by combining the thermogravimetry–mass spectrometry, N</w:t>
      </w:r>
      <w:r w:rsidRPr="003532DF">
        <w:rPr>
          <w:vertAlign w:val="subscript"/>
        </w:rPr>
        <w:t>2</w:t>
      </w:r>
      <w:r w:rsidRPr="003532DF">
        <w:t xml:space="preserve"> adsorption/desorption, and mercury intrusion porosimetry analyses. The impacts of these characteristics on pore compressibility were also studied. The results indicate that the macromolecular organic matter in coals begins to decompose into hydrocarbon gases (such as CH</w:t>
      </w:r>
      <w:r w:rsidRPr="003532DF">
        <w:rPr>
          <w:vertAlign w:val="subscript"/>
        </w:rPr>
        <w:t>4</w:t>
      </w:r>
      <w:r w:rsidRPr="003532DF">
        <w:t xml:space="preserve"> and C</w:t>
      </w:r>
      <w:r w:rsidRPr="003532DF">
        <w:rPr>
          <w:vertAlign w:val="subscript"/>
        </w:rPr>
        <w:t>2</w:t>
      </w:r>
      <w:r w:rsidRPr="003532DF">
        <w:t>H</w:t>
      </w:r>
      <w:r w:rsidRPr="003532DF">
        <w:rPr>
          <w:vertAlign w:val="subscript"/>
        </w:rPr>
        <w:t>4</w:t>
      </w:r>
      <w:r w:rsidRPr="003532DF">
        <w:t>) at temperature ranging from 350 to 600 °C, and then the production peaks of CO and CO</w:t>
      </w:r>
      <w:r w:rsidRPr="003532DF">
        <w:rPr>
          <w:vertAlign w:val="subscript"/>
        </w:rPr>
        <w:t>2</w:t>
      </w:r>
      <w:r w:rsidRPr="003532DF">
        <w:t xml:space="preserve"> exist at 600–800 °C in different rank coals and are accompanied by the generation of H</w:t>
      </w:r>
      <w:r w:rsidRPr="003532DF">
        <w:rPr>
          <w:vertAlign w:val="subscript"/>
        </w:rPr>
        <w:t>2</w:t>
      </w:r>
      <w:r w:rsidRPr="003532DF">
        <w:t xml:space="preserve"> and H</w:t>
      </w:r>
      <w:r w:rsidRPr="003532DF">
        <w:rPr>
          <w:vertAlign w:val="subscript"/>
        </w:rPr>
        <w:t>2</w:t>
      </w:r>
      <w:r w:rsidRPr="003532DF">
        <w:t>O, which results from the decomposition of carbonate minerals and the polycondensation reaction. The pore structure and heterogeneity of different rank coals treated at 200 °C remain stable except for the enlargement of the pore size because of the slight thermal expansion of the coal matrix and the removal of moistures/partial volatiles. However, as the temperature rises to 400 °C, the partial adsorption pores of low-rank coal (LRC) are closed, while the adsorption pore volume of medium-rank coal (MRC) increases, which may relate to the continuous decomposition of the volatile matter and the outburst of small-molecule gas. The massive seepage pores and microfractures are extensively developed in LRC (90.6% vol) and MRC (61.26% vol) treated at 600 °C, which provide an important flow pathway for coalbed methane recovery. In comparison, the pore structure and heterogeneity of high-rank coal (HRC) change indistinctly at 400 and 600 °C because of the original high metamorphic degree. Moreover, the pore compressibility values show a descending trend as the coal rank increases, corresponding to 2.45 × 10</w:t>
      </w:r>
      <w:r w:rsidRPr="003532DF">
        <w:rPr>
          <w:vertAlign w:val="superscript"/>
        </w:rPr>
        <w:t>–4</w:t>
      </w:r>
      <w:r w:rsidRPr="003532DF">
        <w:t xml:space="preserve"> to 3.09 × 10</w:t>
      </w:r>
      <w:r w:rsidRPr="003532DF">
        <w:rPr>
          <w:vertAlign w:val="superscript"/>
        </w:rPr>
        <w:t>–2</w:t>
      </w:r>
      <w:r w:rsidRPr="003532DF">
        <w:t xml:space="preserve"> MPa</w:t>
      </w:r>
      <w:r w:rsidRPr="003532DF">
        <w:rPr>
          <w:vertAlign w:val="superscript"/>
        </w:rPr>
        <w:t>–1</w:t>
      </w:r>
      <w:r w:rsidRPr="003532DF">
        <w:t xml:space="preserve"> for LRC, 9.43 × 10</w:t>
      </w:r>
      <w:r w:rsidRPr="003532DF">
        <w:rPr>
          <w:vertAlign w:val="superscript"/>
        </w:rPr>
        <w:t>–4</w:t>
      </w:r>
      <w:r w:rsidRPr="003532DF">
        <w:t xml:space="preserve"> to 4.03 × 10</w:t>
      </w:r>
      <w:r w:rsidRPr="003532DF">
        <w:rPr>
          <w:vertAlign w:val="superscript"/>
        </w:rPr>
        <w:t>–2</w:t>
      </w:r>
      <w:r w:rsidRPr="003532DF">
        <w:t xml:space="preserve"> MPa</w:t>
      </w:r>
      <w:r w:rsidRPr="003532DF">
        <w:rPr>
          <w:vertAlign w:val="superscript"/>
        </w:rPr>
        <w:t>–1</w:t>
      </w:r>
      <w:r w:rsidRPr="003532DF">
        <w:t xml:space="preserve"> for MRC, and 2.76 × 10</w:t>
      </w:r>
      <w:r w:rsidRPr="003532DF">
        <w:rPr>
          <w:vertAlign w:val="superscript"/>
        </w:rPr>
        <w:t>–4</w:t>
      </w:r>
      <w:r w:rsidRPr="003532DF">
        <w:t xml:space="preserve"> to 6.9 × 10</w:t>
      </w:r>
      <w:r w:rsidRPr="003532DF">
        <w:rPr>
          <w:vertAlign w:val="superscript"/>
        </w:rPr>
        <w:t>–4</w:t>
      </w:r>
      <w:r w:rsidRPr="003532DF">
        <w:t xml:space="preserve"> MPa</w:t>
      </w:r>
      <w:r w:rsidRPr="003532DF">
        <w:rPr>
          <w:vertAlign w:val="superscript"/>
        </w:rPr>
        <w:t>–1</w:t>
      </w:r>
      <w:r w:rsidRPr="003532DF">
        <w:t xml:space="preserve"> for HRC when the pressure and </w:t>
      </w:r>
      <w:r w:rsidRPr="003532DF">
        <w:lastRenderedPageBreak/>
        <w:t>temperature range from 14.5 to 206 MPa and 25 to 600 °C, respectively. Meanwhile, the pore compressibility of coals shows a remarkable positive correlation with the pore volume fraction of micropores and transition pores, which can provide a large amount of compressible space at the high-pressure stage.</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Lian, W., Wang, J., Wang, G., Gao, D., Li, X., Zhang, Z., Huang, W., Hao, X., Hou, B., </w:t>
      </w:r>
      <w:r w:rsidR="00616347">
        <w:t xml:space="preserve">2020. </w:t>
      </w:r>
      <w:r w:rsidRPr="003532DF">
        <w:t>Investigation on the lignite pyrolysis reaction kinetics based on the general Arrhenius formula. Fuel 268, 117364.</w:t>
      </w:r>
    </w:p>
    <w:p w:rsidR="00DB42FE" w:rsidRPr="003532DF" w:rsidRDefault="00DB42FE" w:rsidP="00616347">
      <w:pPr>
        <w:pStyle w:val="EndNoteBibliography"/>
        <w:ind w:left="360"/>
      </w:pPr>
      <w:r w:rsidRPr="003532DF">
        <w:t>http://www.sciencedirect.com/science/article/pii/S0016236120303598</w:t>
      </w:r>
    </w:p>
    <w:p w:rsidR="00DB42FE" w:rsidRPr="003532DF" w:rsidRDefault="00DB42FE" w:rsidP="00616347">
      <w:pPr>
        <w:pStyle w:val="EndNoteBibliography"/>
        <w:spacing w:after="0"/>
        <w:ind w:left="360"/>
      </w:pPr>
      <w:r w:rsidRPr="003532DF">
        <w:t>Studying the reaction kinetics can deepen the understanding of reaction mechanism and provide a relatively accurate and efficient reaction rate expression to theoretically optimize the relevant reactor. Here, the complicated lignite pyrolysis was assumed to be performed by the multi-parallel first order reactions, and the kinetic parameters of Arrhenius formula for each first order reaction were obtained through fitting the thermogravimetry (TG) experimental data. Thus, our developed kinetics models can avoid the multiple integration of using the well-known distributed activation energy model (DAEM) in evaluating the pyrolysis rate, the computational time for predicting the pyrolysis in a single lignite particle is reduced from 51.9 s to 3.8 s, which is important for theoretically optimizing the reactor, especially for using the well-developed computational fluid dynamics (CFD) theory. And, the simulating results showed that the developed kinetics model can more accurately predict the lignite pyrolysis process than that of DAEM.</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Liberles, D.A., Chang, B., Geiler-Samerotte, K., Goldman, A., Hey, J., Kaçar, B., Meyer, M., Murphy, W., Posada, D., Storfer, A., </w:t>
      </w:r>
      <w:r w:rsidR="00616347">
        <w:t xml:space="preserve">2020. </w:t>
      </w:r>
      <w:r w:rsidRPr="003532DF">
        <w:t>Emerging frontiers in the study of molecular evolution. Journal of Molecular Evolution 88, 211-226.</w:t>
      </w:r>
    </w:p>
    <w:p w:rsidR="00DB42FE" w:rsidRPr="003532DF" w:rsidRDefault="00DB42FE" w:rsidP="00616347">
      <w:pPr>
        <w:pStyle w:val="EndNoteBibliography"/>
        <w:ind w:left="360"/>
      </w:pPr>
      <w:r w:rsidRPr="003532DF">
        <w:t>https://doi.org/10.1007/s00239-020-09932-6</w:t>
      </w:r>
    </w:p>
    <w:p w:rsidR="00DB42FE" w:rsidRPr="003532DF" w:rsidRDefault="00DB42FE" w:rsidP="00616347">
      <w:pPr>
        <w:pStyle w:val="EndNoteBibliography"/>
        <w:spacing w:after="0"/>
        <w:ind w:left="360"/>
      </w:pPr>
      <w:r w:rsidRPr="003532DF">
        <w:t>A collection of the editors of Journal of Molecular Evolution have gotten together to pose a set of key challenges and future directions for the field of molecular evolution. Topics include challenges and new directions in prebiotic chemistry and the RNA world, reconstruction of early cellular genomes and proteins, macromolecular and functional evolution, evolutionary cell biology, genome evolution, molecular evolutionary ecology, viral phylodynamics, theoretical population genomics, somatic cell molecular evolution, and directed evolution. While our effort is not meant to be exhaustive, it reflects research questions and problems in the field of molecular evolution that are exciting to our editors.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Lim, S.H., Go, K.S., Kwon, E.H., Nho, N.S., Lee, J.G., </w:t>
      </w:r>
      <w:r w:rsidR="00616347">
        <w:t xml:space="preserve">2020. </w:t>
      </w:r>
      <w:r w:rsidRPr="003532DF">
        <w:t>Investigation of asphaltene dispersion stability in slurry-phase hydrocracking reaction. Fuel 271, 117509.</w:t>
      </w:r>
    </w:p>
    <w:p w:rsidR="00DB42FE" w:rsidRPr="003532DF" w:rsidRDefault="00DB42FE" w:rsidP="00616347">
      <w:pPr>
        <w:pStyle w:val="EndNoteBibliography"/>
        <w:ind w:left="360"/>
      </w:pPr>
      <w:r w:rsidRPr="003532DF">
        <w:t>http://www.sciencedirect.com/science/article/pii/S0016236120305044</w:t>
      </w:r>
    </w:p>
    <w:p w:rsidR="00DB42FE" w:rsidRPr="003532DF" w:rsidRDefault="00DB42FE" w:rsidP="00616347">
      <w:pPr>
        <w:pStyle w:val="EndNoteBibliography"/>
        <w:spacing w:after="0"/>
        <w:ind w:left="360"/>
      </w:pPr>
      <w:r w:rsidRPr="003532DF">
        <w:t>Asphaltene precipitation is known as a challenging issue to fully upgrade heavy oils. In this study, asphaltene dispersion stability and sediment formation for a slurry phase hydrocracking reaction of vacuum residue was investigated with changes of temperatures (405–435 °C), LHSV (0.20–0.45 hr</w:t>
      </w:r>
      <w:r w:rsidRPr="003532DF">
        <w:rPr>
          <w:vertAlign w:val="superscript"/>
        </w:rPr>
        <w:t>-1</w:t>
      </w:r>
      <w:r w:rsidRPr="003532DF">
        <w:t xml:space="preserve">), pressures (80–180 bar) and superficial gas velocities (0.4–2.2 cm/s) in a bench-scale continuous system. The characteristics of dispersion stability were examined with the solubility parameters at </w:t>
      </w:r>
      <w:r w:rsidRPr="003532DF">
        <w:lastRenderedPageBreak/>
        <w:t>the flocculation point (UV titration), the structure of the asphaltenes (H-NMR), and sediment content in the liquid product (Hot filtration). As results, it was found that the dispersion stability of asphaltene was mainly dependent on the VR conversion. In particular, at about 50% of the VR transition, the solubility was found to be unstable and the amount of deposition increased dramatically. At the same time, microscopic observation directly confirmed asphaltene flocculation. However, when H</w:t>
      </w:r>
      <w:r w:rsidRPr="003532DF">
        <w:rPr>
          <w:vertAlign w:val="subscript"/>
        </w:rPr>
        <w:t>2</w:t>
      </w:r>
      <w:r w:rsidRPr="003532DF">
        <w:t xml:space="preserve"> partial pressure was increased, the hydrogenation reaction of asphaltene was promoted so that it could reduce sediment formation and improve both the asphaltene solubility and structure for the stable dispersion. On the other hand, increasing the superficial gas velocity did not give an effect on the asphaltene dispersion stability.</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Lin, B., Liu, Z., Eglinton, T.I., Kandasamy, S., Blattmann, T.M., Haghipour, N., Huang, K.-F., You, C.-F., </w:t>
      </w:r>
      <w:r w:rsidR="00616347">
        <w:t xml:space="preserve">2020. </w:t>
      </w:r>
      <w:r w:rsidRPr="003532DF">
        <w:t>Island-wide variation in provenance of riverine sedimentary organic carbon: A case study from Taiwan. Earth and Planetary Science Letters 539, 116238.</w:t>
      </w:r>
    </w:p>
    <w:p w:rsidR="00DB42FE" w:rsidRPr="003532DF" w:rsidRDefault="00DB42FE" w:rsidP="00616347">
      <w:pPr>
        <w:pStyle w:val="EndNoteBibliography"/>
        <w:ind w:left="360"/>
      </w:pPr>
      <w:r w:rsidRPr="003532DF">
        <w:t>http://www.sciencedirect.com/science/article/pii/S0012821X20301813</w:t>
      </w:r>
    </w:p>
    <w:p w:rsidR="00DB42FE" w:rsidRPr="003532DF" w:rsidRDefault="00DB42FE" w:rsidP="00616347">
      <w:pPr>
        <w:pStyle w:val="EndNoteBibliography"/>
        <w:spacing w:after="0"/>
        <w:ind w:left="360"/>
      </w:pPr>
      <w:r w:rsidRPr="003532DF">
        <w:t xml:space="preserve">Oceanic islands in the western Pacific export </w:t>
      </w:r>
      <w:r w:rsidRPr="003532DF">
        <w:rPr>
          <w:rFonts w:ascii="Cambria Math" w:hAnsi="Cambria Math" w:cs="Cambria Math"/>
        </w:rPr>
        <w:t>∼</w:t>
      </w:r>
      <w:r w:rsidRPr="003532DF">
        <w:t>35% of particulate organic carbon (OC) to the world ocean, but composition and age of OC varies dramatically among and within the islands. Understanding island-wide variation in sources and controls on the sedimentary OC in a series of rivers is therefore essential to assess the role of oceanic islands on the global carbon cycle. Stable and radioactive carbon isotopic compositions of sedimentary OC in 17 rivers across Taiwan indicate various proportions of biospheric OC derived from soil overlain by C3 and C4 vegetation and petrogenic OC from sedimentary and metamorphic rocks. Higher fractions of biospheric OC occur in sediments of northwestern rivers, while petrogenic OC is dominant in southern river sediments. Vegetation type, lithological setting, and sediment yield in river basins largely control island-wide OC compositions in river sediments. Considerable differences in export fluxes of biospheric and petrogenic OC based on different provenance proxies exist for individual rivers, highlighting the need for additional radiocarbon measurement (with high sample frequency) to better understand the role of oceanic islands in the global carbon cycle.</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Lin, R., Chen, K., Miao, M., Zhang, L., Wang, X., Jiang, Y., Zhang, J., Wang, Y., Pan, H., </w:t>
      </w:r>
      <w:r w:rsidR="00616347">
        <w:t xml:space="preserve">2020. </w:t>
      </w:r>
      <w:r w:rsidRPr="003532DF">
        <w:t>Reaction mechanism of H</w:t>
      </w:r>
      <w:r w:rsidRPr="003532DF">
        <w:rPr>
          <w:vertAlign w:val="subscript"/>
        </w:rPr>
        <w:t>2</w:t>
      </w:r>
      <w:r w:rsidRPr="003532DF">
        <w:t>S generation during tetrahydrothiophene aquathermolysis reaction. Energy &amp; Fuels 34, 2781-2789.</w:t>
      </w:r>
    </w:p>
    <w:p w:rsidR="00DB42FE" w:rsidRPr="003532DF" w:rsidRDefault="00DB42FE" w:rsidP="00616347">
      <w:pPr>
        <w:pStyle w:val="EndNoteBibliography"/>
        <w:ind w:left="360"/>
      </w:pPr>
      <w:r w:rsidRPr="003532DF">
        <w:t>https://doi.org/10.1021/acs.energyfuels.9b03844</w:t>
      </w:r>
    </w:p>
    <w:p w:rsidR="00DB42FE" w:rsidRPr="003532DF" w:rsidRDefault="00DB42FE" w:rsidP="00616347">
      <w:pPr>
        <w:pStyle w:val="EndNoteBibliography"/>
        <w:spacing w:after="0"/>
        <w:ind w:left="360"/>
      </w:pPr>
      <w:r w:rsidRPr="003532DF">
        <w:t>The generation of H</w:t>
      </w:r>
      <w:r w:rsidRPr="003532DF">
        <w:rPr>
          <w:vertAlign w:val="subscript"/>
        </w:rPr>
        <w:t>2</w:t>
      </w:r>
      <w:r w:rsidRPr="003532DF">
        <w:t>S causes many problems during steam injection thermal recovery. To make clear the formation rule of H</w:t>
      </w:r>
      <w:r w:rsidRPr="003532DF">
        <w:rPr>
          <w:vertAlign w:val="subscript"/>
        </w:rPr>
        <w:t>2</w:t>
      </w:r>
      <w:r w:rsidRPr="003532DF">
        <w:t>S under the condition of steam injection thermal recovery, tetrahydrothiophene was selected as a model compound, and then reaction mechanism and kinetics were explored based on indoor thermal simulation. The results showed that tetrahydrothiophene aquathermolysis reaction can generate a large amount of H</w:t>
      </w:r>
      <w:r w:rsidRPr="003532DF">
        <w:rPr>
          <w:vertAlign w:val="subscript"/>
        </w:rPr>
        <w:t>2</w:t>
      </w:r>
      <w:r w:rsidRPr="003532DF">
        <w:t xml:space="preserve">S. The C–S bond formed by heteroatom S broke at first and then opening-ring occurred, which produced small molecular alkanes or alkenes. The decarbonylation of aldehydes and other organic compounds resulted in the formation of CO, hydrocarbons, and other related compounds. High-temperature water played a key role in the process of tetrahydrothiophene aquathermolysis reaction and would directly participate in the elementary reactions such as hydrolysis and water–gas shift reaction (WGSR). These elementary reactions would finally lead to the migration of hydrogen from water to gas-phase or liquid-phase </w:t>
      </w:r>
      <w:r w:rsidRPr="003532DF">
        <w:lastRenderedPageBreak/>
        <w:t>products. In addition, a kinetic model of H</w:t>
      </w:r>
      <w:r w:rsidRPr="003532DF">
        <w:rPr>
          <w:vertAlign w:val="subscript"/>
        </w:rPr>
        <w:t>2</w:t>
      </w:r>
      <w:r w:rsidRPr="003532DF">
        <w:t>S formation during tetrahydrothiophene aquathermolysis reaction was established through kinetic experiments, the activation energy is 54.55 kJ/mol, and the frequency factor is 166.47 day</w:t>
      </w:r>
      <w:r w:rsidRPr="003532DF">
        <w:rPr>
          <w:vertAlign w:val="superscript"/>
        </w:rPr>
        <w:t>–1</w:t>
      </w:r>
      <w:r w:rsidRPr="003532DF">
        <w:t>.</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Liu, B., He, Y., Zhang, Y., Sun, Y., Wang, Y., He, D., </w:t>
      </w:r>
      <w:r w:rsidR="00616347">
        <w:t xml:space="preserve">2020. </w:t>
      </w:r>
      <w:r w:rsidRPr="003532DF">
        <w:t>Natural and anthropogenic organic matter cycling between coastal wetlands and rivers: a case study from Liao River Delta. Estuarine, Coastal and Shelf Science 236, 106610.</w:t>
      </w:r>
    </w:p>
    <w:p w:rsidR="00DB42FE" w:rsidRPr="003532DF" w:rsidRDefault="00DB42FE" w:rsidP="00616347">
      <w:pPr>
        <w:pStyle w:val="EndNoteBibliography"/>
        <w:ind w:left="360"/>
      </w:pPr>
      <w:r w:rsidRPr="003532DF">
        <w:t>http://www.sciencedirect.com/science/article/pii/S0272771419306183</w:t>
      </w:r>
    </w:p>
    <w:p w:rsidR="00DB42FE" w:rsidRPr="003532DF" w:rsidRDefault="00DB42FE" w:rsidP="00616347">
      <w:pPr>
        <w:pStyle w:val="EndNoteBibliography"/>
        <w:spacing w:after="0"/>
        <w:ind w:left="360"/>
      </w:pPr>
      <w:r w:rsidRPr="003532DF">
        <w:t>Organic matter (OM) cycling between coastal wetlands and their connected rivers is poorly constrained due to difficulties in assessing the composition of different OM sources (natural vs. anthropogenic). Bulk characteristics and lipid biomarkers were analyzed to distinguish different sources of OM in the sediments and soils of Liao River Delta, Northeast China, including Liao River Wetland, its connected Liao River, and nearby Daliao River. A similar range of stable carbon isotopic values (δ</w:t>
      </w:r>
      <w:r w:rsidRPr="003532DF">
        <w:rPr>
          <w:vertAlign w:val="superscript"/>
        </w:rPr>
        <w:t>13</w:t>
      </w:r>
      <w:r w:rsidRPr="003532DF">
        <w:t>C</w:t>
      </w:r>
      <w:r w:rsidRPr="003532DF">
        <w:rPr>
          <w:vertAlign w:val="subscript"/>
        </w:rPr>
        <w:t>org</w:t>
      </w:r>
      <w:r w:rsidRPr="003532DF">
        <w:t>) was observed in wetland soils (−27.8‰ to −22.6‰) and river sediments (−26.0‰ to −23.3‰). In contrast, significantly higher stable nitrogen isotopic values (δ</w:t>
      </w:r>
      <w:r w:rsidRPr="003532DF">
        <w:rPr>
          <w:vertAlign w:val="superscript"/>
        </w:rPr>
        <w:t>15</w:t>
      </w:r>
      <w:r w:rsidRPr="003532DF">
        <w:t xml:space="preserve">N) were observed in Daliao River sediments (5.8‰–7.7‰) than both Liao River and wetland soils. Lipid biomarkers, especially </w:t>
      </w:r>
      <w:r w:rsidRPr="003532DF">
        <w:rPr>
          <w:i/>
        </w:rPr>
        <w:t>n</w:t>
      </w:r>
      <w:r w:rsidRPr="003532DF">
        <w:t xml:space="preserve">-alkyl lipids, phytosterols, triterpenoids, isoprenoids, monoalkyl glycerol ethers, and monoacylglycerols, indicated that the natural OM input in Liao River Delta was mainly of terrestrial origin, followed by </w:t>
      </w:r>
      <w:r w:rsidRPr="003532DF">
        <w:rPr>
          <w:i/>
        </w:rPr>
        <w:t>in situ</w:t>
      </w:r>
      <w:r w:rsidRPr="003532DF">
        <w:t xml:space="preserve"> aquatic and microbial inputs. In addition to natural OM, anthropogenic influences in the form of sewage and petroleum inputs were evidenced by the detection of fecal sterols, plasticizers, and petrogenic biomarkers. Biomarker distributions in samples from Liao River and Liao River Wetland suggested similar OM sources or close interaction between them, which may be caused by lateral transport considering the low elevation delta exposed to strong tidal effects. In contrast, significantly higher anthropogenic inputs were detected in Daliao River, with no connectivity to the Liao River wetland. Taking advantage of isotopic and biomarker data, the principal component analysis further suggests that both the natural wetland distribution and anthropogenic activities may affect the OM sources and distribution in coastal rivers, which serve as an important transit of OM to coastal oceans.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Liu, B., Teng, J., Mastalerz, M., Schieber, J., </w:t>
      </w:r>
      <w:r w:rsidR="00616347">
        <w:t xml:space="preserve">2020. </w:t>
      </w:r>
      <w:r w:rsidRPr="003532DF">
        <w:t>Assessing the thermal maturity of black shales using vitrinite reflectance: Insights from Devonian black shales in the eastern United States. International Journal of Coal Geology 220, 103426.</w:t>
      </w:r>
    </w:p>
    <w:p w:rsidR="00DB42FE" w:rsidRPr="003532DF" w:rsidRDefault="00DB42FE" w:rsidP="00616347">
      <w:pPr>
        <w:pStyle w:val="EndNoteBibliography"/>
        <w:ind w:left="360"/>
      </w:pPr>
      <w:r w:rsidRPr="003532DF">
        <w:t>http://www.sciencedirect.com/science/article/pii/S0166516219311899</w:t>
      </w:r>
    </w:p>
    <w:p w:rsidR="00DB42FE" w:rsidRPr="003532DF" w:rsidRDefault="00DB42FE" w:rsidP="00616347">
      <w:pPr>
        <w:pStyle w:val="EndNoteBibliography"/>
        <w:ind w:left="360"/>
      </w:pPr>
      <w:r w:rsidRPr="003532DF">
        <w:t>Thermal maturity of source rocks indicated by vitrinite reflectance (R</w:t>
      </w:r>
      <w:r w:rsidRPr="003532DF">
        <w:rPr>
          <w:vertAlign w:val="subscript"/>
        </w:rPr>
        <w:t>o</w:t>
      </w:r>
      <w:r w:rsidRPr="003532DF">
        <w:t>) is an important and reliable parameter to determine the petroleum potential of sedimentary basins. Originally, R</w:t>
      </w:r>
      <w:r w:rsidRPr="003532DF">
        <w:rPr>
          <w:vertAlign w:val="subscript"/>
        </w:rPr>
        <w:t>o</w:t>
      </w:r>
      <w:r w:rsidRPr="003532DF">
        <w:t xml:space="preserve"> was used to characterize the degree of coalification of coals and thus works well for coal seams, but it has limitations when used to determine the thermal maturity of black shale successions. A suite of six coal-shale pairs from the Upper Devonian black shale formations in the eastern United States (New Albany Shale, Ohio Shale, Dunkirk Shale, and Rhinestreet Shale) was selected to study the applicability of R</w:t>
      </w:r>
      <w:r w:rsidRPr="003532DF">
        <w:rPr>
          <w:vertAlign w:val="subscript"/>
        </w:rPr>
        <w:t>o</w:t>
      </w:r>
      <w:r w:rsidRPr="003532DF">
        <w:t xml:space="preserve"> in assessing the thermal maturity of black shale successions. The results show that vitrinite in the studied coal samples is dominated by collotelinite, whereas vitrinite in black shales occurs as small dispersed particles (~5 μm) in the mineral matrix. When comparing the size and morphology of dispersed vitrinite particles in shales and collotelinite fragments in coals, vitrinite in </w:t>
      </w:r>
      <w:r w:rsidRPr="003532DF">
        <w:lastRenderedPageBreak/>
        <w:t>shales and adjacent coals should have the same origin. The measured mean random R</w:t>
      </w:r>
      <w:r w:rsidRPr="003532DF">
        <w:rPr>
          <w:vertAlign w:val="subscript"/>
        </w:rPr>
        <w:t>o</w:t>
      </w:r>
      <w:r w:rsidRPr="003532DF">
        <w:t xml:space="preserve"> of vitrinite in coals ranges from 0.51–0.68%, and is 0.04–0.11% (average 0.07%) lower than that of dispersed vitrinite particles in enclosing shales. This observation contrasts with previously reported R</w:t>
      </w:r>
      <w:r w:rsidRPr="003532DF">
        <w:rPr>
          <w:vertAlign w:val="subscript"/>
        </w:rPr>
        <w:t>o</w:t>
      </w:r>
      <w:r w:rsidRPr="003532DF">
        <w:t xml:space="preserve"> suppression in liptinite-rich black shales. A high standard deviation of R</w:t>
      </w:r>
      <w:r w:rsidRPr="003532DF">
        <w:rPr>
          <w:vertAlign w:val="subscript"/>
        </w:rPr>
        <w:t>o</w:t>
      </w:r>
      <w:r w:rsidRPr="003532DF">
        <w:t xml:space="preserve"> measurements indicates a highly heterogeneous nature of vitrinite in black shales.</w:t>
      </w:r>
    </w:p>
    <w:p w:rsidR="00DB42FE" w:rsidRPr="003532DF" w:rsidRDefault="00DB42FE" w:rsidP="00616347">
      <w:pPr>
        <w:pStyle w:val="EndNoteBibliography"/>
        <w:spacing w:after="0"/>
        <w:ind w:left="360"/>
      </w:pPr>
      <w:r w:rsidRPr="003532DF">
        <w:t>Three mechanisms can be envisioned to contribute to the higher R</w:t>
      </w:r>
      <w:r w:rsidRPr="003532DF">
        <w:rPr>
          <w:vertAlign w:val="subscript"/>
        </w:rPr>
        <w:t>o</w:t>
      </w:r>
      <w:r w:rsidRPr="003532DF">
        <w:t xml:space="preserve"> of dispersed vitrinite particles in black shales relative to enclosed coals. First, small vitrinite particles may become more oxidized because small particles are more frequently suspended during transport to the site of deposition and reworking of bottom sediments after deposition than large pieces of driftwood that will turn into enclosed coal lenses during burial diagenesis. Second, misidentification of zooclast (e.g., chitinozoan) fragments as vitrinite due to loss of diagnostic morphology. Third, various macerals in the vitrinite group (e.g., corpogelinite and collotelinite) may have had different original reflectance values. Based on the petrographic characteristics of vitrinite and vitrinite-like particles, caution should be applied when using the R</w:t>
      </w:r>
      <w:r w:rsidRPr="003532DF">
        <w:rPr>
          <w:vertAlign w:val="subscript"/>
        </w:rPr>
        <w:t>o</w:t>
      </w:r>
      <w:r w:rsidRPr="003532DF">
        <w:t xml:space="preserve"> values of dispersed vitrinite and vitrinite-like particles in black shales as indicators of thermal maturity.</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Liu, C., Wang, H., Li, X., Qiu, Z., Guo, J., Wang, Z., </w:t>
      </w:r>
      <w:r w:rsidR="00616347">
        <w:t xml:space="preserve">2020. </w:t>
      </w:r>
      <w:r w:rsidRPr="003532DF">
        <w:t>Sedimentary characteristics and exploration potential for shale gas in Yanxi Formation, central and southern Hunan. Acta Sedimentologica Sinica 38, 218-230.</w:t>
      </w:r>
    </w:p>
    <w:p w:rsidR="00DB42FE" w:rsidRPr="003532DF" w:rsidRDefault="00DB42FE" w:rsidP="00616347">
      <w:pPr>
        <w:pStyle w:val="EndNoteBibliography"/>
        <w:ind w:left="360"/>
      </w:pPr>
      <w:r w:rsidRPr="003532DF">
        <w:t>http://www.cjxb.ac.cn/EN/abstract/abstract4084.shtml</w:t>
      </w:r>
    </w:p>
    <w:p w:rsidR="00DB42FE" w:rsidRPr="003532DF" w:rsidRDefault="00DB42FE" w:rsidP="00616347">
      <w:pPr>
        <w:pStyle w:val="EndNoteBibliography"/>
        <w:spacing w:after="0"/>
        <w:ind w:left="360"/>
      </w:pPr>
      <w:r w:rsidRPr="003532DF">
        <w:t>The Ordovician Yanxi Formation in Hunan,especially in central and southern Hunan,is a newly discovered shale gas exploration horizon in China. It has large lithological variation,high organic carbon content and high maturity. Outcrop data and drilling data analysis indicate that the Yanxi Formation is mainly composed of siliceous rock and carbonaceous shale overlain by sandy shale and sandstone. The lithology,sedimentary structure and vertical rock assemblage characteristics show that the Yanxi Formation contains various sedimentary facies types,including deep-water basin facies,deep-water shelf facies,shallow-water shelf facies,and turbidite fan facies. It was found that,in plan,deep-water basin facies are distributed in southern Hunan,deep-water shelf and shallow-water shelf facies in central Hunan,and turbidite fan facies in northern and eastern parts of central and western Hunan. The facies distribution determines the direction for shale gas exploration in the Yanxi Formation. The TOC content of siliceous rocks and carbonaceous shales in the deep-water basin of southern Hunan is low,whereas the thick carbonaceous shales of the shelf facies in central Hunan have a high TOC,and are the most favorable for exploration in the Yanxi Formation. In particular,the carbonaceous shale in the third lithology section has the highest abundance of organic matter and a high brittle mineral content,and has the greatest shale gas exploration potential.</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Liu, D., Xu, Y., Yu, Q., Yu, N., Qiu, X., Wang, H., Papineau, D., </w:t>
      </w:r>
      <w:r w:rsidR="00616347">
        <w:t xml:space="preserve">2020. </w:t>
      </w:r>
      <w:r w:rsidRPr="003532DF">
        <w:t>Catalytic effect of microbially-derived carboxylic acids on the precipitation of Mg-calcite and disordered dolomite: Implications for sedimentary dolomite formation. Journal of Asian Earth Sciences 193, 104301.</w:t>
      </w:r>
    </w:p>
    <w:p w:rsidR="00DB42FE" w:rsidRPr="003532DF" w:rsidRDefault="00DB42FE" w:rsidP="00616347">
      <w:pPr>
        <w:pStyle w:val="EndNoteBibliography"/>
        <w:ind w:left="360"/>
      </w:pPr>
      <w:r w:rsidRPr="003532DF">
        <w:t>http://www.sciencedirect.com/science/article/pii/S1367912020300821</w:t>
      </w:r>
    </w:p>
    <w:p w:rsidR="00DB42FE" w:rsidRPr="003532DF" w:rsidRDefault="00DB42FE" w:rsidP="00616347">
      <w:pPr>
        <w:pStyle w:val="EndNoteBibliography"/>
        <w:ind w:left="360"/>
        <w:rPr>
          <w:b/>
        </w:rPr>
      </w:pPr>
      <w:r w:rsidRPr="003532DF">
        <w:rPr>
          <w:b/>
        </w:rPr>
        <w:t>Abstract</w:t>
      </w:r>
    </w:p>
    <w:p w:rsidR="00DB42FE" w:rsidRPr="003532DF" w:rsidRDefault="00DB42FE" w:rsidP="00616347">
      <w:pPr>
        <w:pStyle w:val="EndNoteBibliography"/>
        <w:spacing w:after="0"/>
        <w:ind w:left="360"/>
      </w:pPr>
      <w:r w:rsidRPr="003532DF">
        <w:lastRenderedPageBreak/>
        <w:t>The genesis of dolomite is a contentious issue partly due to the difficulty in its synthesis at ambient temperature. Certain types of microorganisms have been demonstrated to be effective in promoting the precipitation of disordered dolomite, an important precursor of sedimentary ordered dolomite. In contrast to a growing body of research on the catalytic role of microbial exopolymers in the crystallization of disordered dolomite, the role of other microbial exudates (e.g., carboxylic acids) remains unknown. To fill in this knowledge gap, precipitation experiments, mimicking the carbonation process within microbial mats, were conducted in saline solutions containing 0–30 mM succinic acid or citric acid, which are commonly produced by microbes. The starting salinities of experiment solutions were set to 35‰ and 70‰, in order to evaluate the effect of solution salinity on dolomite formation. Our results showed that both succinic acid and citric acid enhanced the incorporation of Mg</w:t>
      </w:r>
      <w:r w:rsidRPr="003532DF">
        <w:rPr>
          <w:vertAlign w:val="superscript"/>
        </w:rPr>
        <w:t>2+</w:t>
      </w:r>
      <w:r w:rsidRPr="003532DF">
        <w:t xml:space="preserve"> into growing Ca-Mg carbonates. Solution salinity also played a positive role in enhancing Mg signature in Ca-Mg carbonates. Disordered dolomite with 40.92 mol% MgCO</w:t>
      </w:r>
      <w:r w:rsidRPr="003532DF">
        <w:rPr>
          <w:vertAlign w:val="subscript"/>
        </w:rPr>
        <w:t>3</w:t>
      </w:r>
      <w:r w:rsidRPr="003532DF">
        <w:t xml:space="preserve"> was detected under the conditions of 30 mM succinic acid and 70‰ salinity, whereas in other reactors with succinic acid, Mg-calcites formed. Citric acid was more effective in loading Mg</w:t>
      </w:r>
      <w:r w:rsidRPr="003532DF">
        <w:rPr>
          <w:vertAlign w:val="superscript"/>
        </w:rPr>
        <w:t>2+</w:t>
      </w:r>
      <w:r w:rsidRPr="003532DF">
        <w:t xml:space="preserve"> into Ca-Mg carbonates compared with succinic acid, as evidenced by the predominant occurrence of disordered dolomite with MgCO</w:t>
      </w:r>
      <w:r w:rsidRPr="003532DF">
        <w:rPr>
          <w:vertAlign w:val="subscript"/>
        </w:rPr>
        <w:t>3</w:t>
      </w:r>
      <w:r w:rsidRPr="003532DF">
        <w:t xml:space="preserve"> content ranging from 40.91 mol% to 46.75 mol% in most conditions tested. The results of this study have implications for the formation mechanism of sedimentary dolomite.</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Liu, D., Zhang, H., Li, C., Yang, F., Sun, G., Yao, B., </w:t>
      </w:r>
      <w:r w:rsidR="00616347">
        <w:t xml:space="preserve">2020. </w:t>
      </w:r>
      <w:r w:rsidRPr="003532DF">
        <w:t>Experimental investigation on the interactions between asphaltenes and comb-like octadecyl acrylate (OA) polymeric flow improvers at the model oil/water interface. Energy &amp; Fuels 34, 2693-2702.</w:t>
      </w:r>
    </w:p>
    <w:p w:rsidR="00DB42FE" w:rsidRPr="003532DF" w:rsidRDefault="00DB42FE" w:rsidP="00616347">
      <w:pPr>
        <w:pStyle w:val="EndNoteBibliography"/>
        <w:ind w:left="360"/>
      </w:pPr>
      <w:r w:rsidRPr="003532DF">
        <w:t>https://doi.org/10.1021/acs.energyfuels.9b03502</w:t>
      </w:r>
    </w:p>
    <w:p w:rsidR="00DB42FE" w:rsidRPr="003532DF" w:rsidRDefault="00DB42FE" w:rsidP="00616347">
      <w:pPr>
        <w:pStyle w:val="EndNoteBibliography"/>
        <w:spacing w:after="0"/>
        <w:ind w:left="360"/>
      </w:pPr>
      <w:r w:rsidRPr="003532DF">
        <w:t>In the crude oil production, comb-like octadecyl acrylate (OA) polymers are usually added into the well as flow improver, causing the existence of OA polymers in the produced fluid. OA polymers and asphaltenes in the crude oil could both adsorb at the oil/water interface and form a composite interfacial layer, thus affecting the stability of crude oil emulsion. In this study, the interactions between OA polymers and asphaltenes are explored. OA polymers with different polar groups are first synthesized and their molecular structures are then analyzed. In order to investigate the adsorption behaviors of asphaltenes and OA polymers, the dynamic interfacial tension is detected. The influences of the interactions between OA polymers and asphaltenes on the interfacial tension are obtained by analyzing the adsorption behaviors of single system and binary system. The results show that the OA polymers join in the formation of interfacial layer by competitive adsorption with asphaltenes. The interfacial dilational modulus is then determined with a method of small-amplitude oscillation. The modulus decreases with the addition of OA polymers, indicating that the intensity of interfacial layer is weakened. The conductivity experiment, asphaltene precipitation experiment, and dynamic lighting scattering experiment are conducted jointly to investigate the dispersion state of asphaltenes affected by OA polymers. The polar moieties of OA polymers can interact with asphaltenes and form composite particles containing alkyl side chains with strong oil compatibilities, thus improving the dispersion state of asphaltenes. Among all the synthesized OA polymers, the OA polymer with benzene rings possesses the strongest effects on asphaltenes.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Liu, G.-H., Zong, Z.-M., Ma, Z.-H., Liu, F.-J., Wei, X.-Y., Kang, Y.-H., Fan, X., Ma, F.Y., Liu, J.M., Mo, W.L., </w:t>
      </w:r>
      <w:r w:rsidR="00616347">
        <w:t xml:space="preserve">2020. </w:t>
      </w:r>
      <w:r w:rsidRPr="003532DF">
        <w:t>Observing the structural variation of Dahuangshan lignite and four derived residues by non-destructive techniques and flash pyrolysis. Fuel 269, 117335.</w:t>
      </w:r>
    </w:p>
    <w:p w:rsidR="00DB42FE" w:rsidRPr="003532DF" w:rsidRDefault="00DB42FE" w:rsidP="00616347">
      <w:pPr>
        <w:pStyle w:val="EndNoteBibliography"/>
        <w:ind w:left="360"/>
      </w:pPr>
      <w:r w:rsidRPr="003532DF">
        <w:lastRenderedPageBreak/>
        <w:t>http://www.sciencedirect.com/science/article/pii/S0016236120303306</w:t>
      </w:r>
    </w:p>
    <w:p w:rsidR="00DB42FE" w:rsidRPr="003532DF" w:rsidRDefault="00DB42FE" w:rsidP="00616347">
      <w:pPr>
        <w:pStyle w:val="EndNoteBibliography"/>
        <w:spacing w:after="0"/>
        <w:ind w:left="360"/>
      </w:pPr>
      <w:r w:rsidRPr="003532DF">
        <w:t>Structural features of Dahuangshan lignite (DL) and 4 derived residues (DRs) were analyzed to understand the internal correlation between the associative fragments and organic macromolecular structures in DL. The structural changes before and after DL extraction and degradation can be effectively understood through the combination of multiple tools. The results show that &gt;C-OH and &gt;C-O- moieties are dominated on all the sample surfaces, while pyrrolics and SSSs (</w:t>
      </w:r>
      <w:r w:rsidRPr="003532DF">
        <w:rPr>
          <w:i/>
        </w:rPr>
        <w:t>i.e.</w:t>
      </w:r>
      <w:r w:rsidRPr="003532DF">
        <w:t>, SO</w:t>
      </w:r>
      <w:r w:rsidRPr="003532DF">
        <w:rPr>
          <w:vertAlign w:val="subscript"/>
        </w:rPr>
        <w:t>4</w:t>
      </w:r>
      <w:r w:rsidRPr="003532DF">
        <w:rPr>
          <w:vertAlign w:val="superscript"/>
        </w:rPr>
        <w:t>2−</w:t>
      </w:r>
      <w:r w:rsidRPr="003532DF">
        <w:t>, SO</w:t>
      </w:r>
      <w:r w:rsidRPr="003532DF">
        <w:rPr>
          <w:vertAlign w:val="subscript"/>
        </w:rPr>
        <w:t>4</w:t>
      </w:r>
      <w:r w:rsidRPr="003532DF">
        <w:rPr>
          <w:vertAlign w:val="superscript"/>
        </w:rPr>
        <w:t>2−</w:t>
      </w:r>
      <w:r w:rsidRPr="003532DF">
        <w:t>, and -SO</w:t>
      </w:r>
      <w:r w:rsidRPr="003532DF">
        <w:rPr>
          <w:vertAlign w:val="subscript"/>
        </w:rPr>
        <w:t>3</w:t>
      </w:r>
      <w:r w:rsidRPr="003532DF">
        <w:t xml:space="preserve">H) are the most abundant nitrogen- and sulfur-containing species, respectively, from X-ray photoelectron spectrometric analysis. According to thermogravimetric and Fourier transform infrared semi-quantitative analyses, the cleavage of weak and medium strength covalent bonds, </w:t>
      </w:r>
      <w:r w:rsidRPr="003532DF">
        <w:rPr>
          <w:i/>
        </w:rPr>
        <w:t>i.e.</w:t>
      </w:r>
      <w:r w:rsidRPr="003532DF">
        <w:t>, &gt;C</w:t>
      </w:r>
      <w:r w:rsidRPr="003532DF">
        <w:rPr>
          <w:vertAlign w:val="subscript"/>
        </w:rPr>
        <w:t>al</w:t>
      </w:r>
      <w:r w:rsidRPr="003532DF">
        <w:t>-X bonds (X denotes H, C</w:t>
      </w:r>
      <w:r w:rsidRPr="003532DF">
        <w:rPr>
          <w:vertAlign w:val="subscript"/>
        </w:rPr>
        <w:t>al</w:t>
      </w:r>
      <w:r w:rsidRPr="003532DF">
        <w:t>&lt;, O-, N&lt;, and S-), should be the main reaction during the DL degradation. With increasing the destructive degree, the aromaticity of organic matter from the DRs gradually increases, which is consistent with X-ray photoelectron spectrometric analysis. In addition, combined with the Curie-point pyrolyzer-gas chromatograph/mass spectrometric analysis, a considerable portion of arenes and arenols, especially alkyl-substituted naphthalenes and phenols are also present in nested forms. The possible macromolecular frameworks and nested groups of DL were further speculated. Insight into the structural difference among DL and DRs facilitates the rational and targeted utilization of such DRs.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Liu, J.L., Zhang, J.C., Li, Z., Chang, M.H., Wang, S., Chen, L., Yu, H.C., </w:t>
      </w:r>
      <w:r w:rsidR="00616347">
        <w:t xml:space="preserve">2020. </w:t>
      </w:r>
      <w:r w:rsidRPr="003532DF">
        <w:t>Gas-generation potential of shales in small and medium-sized basins: a case study from the Xuanhua Basin, north China. Australian Journal of Earth Sciences 67, 411-424.</w:t>
      </w:r>
    </w:p>
    <w:p w:rsidR="00DB42FE" w:rsidRPr="003532DF" w:rsidRDefault="00DB42FE" w:rsidP="00616347">
      <w:pPr>
        <w:pStyle w:val="EndNoteBibliography"/>
        <w:ind w:left="360"/>
      </w:pPr>
      <w:r w:rsidRPr="003532DF">
        <w:t>https://doi.org/10.1080/08120099.2020.1672209</w:t>
      </w:r>
    </w:p>
    <w:p w:rsidR="00DB42FE" w:rsidRPr="003532DF" w:rsidRDefault="00DB42FE" w:rsidP="00616347">
      <w:pPr>
        <w:pStyle w:val="EndNoteBibliography"/>
        <w:ind w:left="360"/>
      </w:pPr>
      <w:r w:rsidRPr="003532DF">
        <w:t>Small- and medium-sized basins are widely distributed, and some contain commercial gas reservoirs demonstrating their gas-generation potential. The Xuanhua Basin, which is a small-sized coal-bearing basin in north China, includes a promising target for shale-gas exploration in the Xiahuayuan Formation. In this study, we used this basin as a case study to assess the critical geochemical features for small or medium-sized basins to form commercial gas reservoirs. Total organic carbon (TOC) analysis, Rock-Eval pyrolysis, microscopic observation of macerals, vitrinite reflectance measurement and kerogen stable carbon isotope analysis were performed to characterise the organic geochemistry of the Xiahuayuan shales. The original total organic carbon (TOC</w:t>
      </w:r>
      <w:r w:rsidRPr="003532DF">
        <w:rPr>
          <w:vertAlign w:val="subscript"/>
        </w:rPr>
        <w:t>o</w:t>
      </w:r>
      <w:r w:rsidRPr="003532DF">
        <w:t>) content and hydrocarbon-generative potential (</w:t>
      </w:r>
      <w:r w:rsidRPr="003532DF">
        <w:rPr>
          <w:i/>
        </w:rPr>
        <w:t>S</w:t>
      </w:r>
      <w:r w:rsidRPr="003532DF">
        <w:rPr>
          <w:vertAlign w:val="subscript"/>
        </w:rPr>
        <w:t>2o</w:t>
      </w:r>
      <w:r w:rsidRPr="003532DF">
        <w:t xml:space="preserve">) were reconstructed to further evaluate the gas-generation potential of these shales. In addition, geochemical data of shales from other similar-sized basins with gas discoveries were compared. The results showed that the kerogen from the Xiahuayuan Formation is Type III (gas-prone), and macerals are dominated by vitrinite. TOC values showed a strong heterogeneity in the vertical profiles, with most higher than 1.5 wt%. The measured </w:t>
      </w:r>
      <w:r w:rsidRPr="003532DF">
        <w:rPr>
          <w:i/>
        </w:rPr>
        <w:t>R</w:t>
      </w:r>
      <w:r w:rsidRPr="003532DF">
        <w:rPr>
          <w:vertAlign w:val="subscript"/>
        </w:rPr>
        <w:t>o</w:t>
      </w:r>
      <w:r w:rsidRPr="003532DF">
        <w:t xml:space="preserve"> values ranged from 1.4 to 2.0%. However, thermal maturity was not correlated with the present-day burial depth with higher maturity in the wells closest to the diabase intrusion centre. The remaining generation potential (</w:t>
      </w:r>
      <w:r w:rsidRPr="003532DF">
        <w:rPr>
          <w:i/>
        </w:rPr>
        <w:t>S</w:t>
      </w:r>
      <w:r w:rsidRPr="003532DF">
        <w:rPr>
          <w:vertAlign w:val="subscript"/>
        </w:rPr>
        <w:t>2</w:t>
      </w:r>
      <w:r w:rsidRPr="003532DF">
        <w:t>) averaged 0.91 mg HC/g rock, equal to 1.4 cm</w:t>
      </w:r>
      <w:r w:rsidRPr="003532DF">
        <w:rPr>
          <w:vertAlign w:val="superscript"/>
        </w:rPr>
        <w:t>3</w:t>
      </w:r>
      <w:r w:rsidRPr="003532DF">
        <w:t xml:space="preserve"> CH</w:t>
      </w:r>
      <w:r w:rsidRPr="003532DF">
        <w:rPr>
          <w:vertAlign w:val="subscript"/>
        </w:rPr>
        <w:t>4</w:t>
      </w:r>
      <w:r w:rsidRPr="003532DF">
        <w:t>/g rock, and the average amount of hydrocarbon generated was 4.33 cm</w:t>
      </w:r>
      <w:r w:rsidRPr="003532DF">
        <w:rPr>
          <w:vertAlign w:val="superscript"/>
        </w:rPr>
        <w:t>3</w:t>
      </w:r>
      <w:r w:rsidRPr="003532DF">
        <w:t xml:space="preserve"> CH</w:t>
      </w:r>
      <w:r w:rsidRPr="003532DF">
        <w:rPr>
          <w:vertAlign w:val="subscript"/>
        </w:rPr>
        <w:t>4</w:t>
      </w:r>
      <w:r w:rsidRPr="003532DF">
        <w:t xml:space="preserve">/g rock. In small and medium-sized basins, the TOC content of commercially developed gas shales ranged from 0.5 to 2.5 wt%, organic matter was mainly humic (gas-prone), and the burial depth was generally shallow. Biogenic gas reservoirs for commercial exploitation tend to have larger shale thicknesses (120–800 m) than thermogenic gas reservoirs (60–90 m). </w:t>
      </w:r>
    </w:p>
    <w:p w:rsidR="00DB42FE" w:rsidRPr="003532DF" w:rsidRDefault="00DB42FE" w:rsidP="000A2352">
      <w:pPr>
        <w:pStyle w:val="EndNoteBibliography"/>
        <w:ind w:left="630" w:hanging="270"/>
      </w:pPr>
      <w:r w:rsidRPr="003532DF">
        <w:lastRenderedPageBreak/>
        <w:t>1.</w:t>
      </w:r>
      <w:r w:rsidRPr="003532DF">
        <w:tab/>
        <w:t>The Xiahuayuan Formation is a good gas-source rock with gas-prone kerogen type, relatively high TOC values and moderate thermal maturity.</w:t>
      </w:r>
    </w:p>
    <w:p w:rsidR="00DB42FE" w:rsidRPr="003532DF" w:rsidRDefault="00DB42FE" w:rsidP="000A2352">
      <w:pPr>
        <w:pStyle w:val="EndNoteBibliography"/>
        <w:ind w:left="630" w:hanging="270"/>
      </w:pPr>
      <w:r w:rsidRPr="003532DF">
        <w:t>2.</w:t>
      </w:r>
      <w:r w:rsidRPr="003532DF">
        <w:tab/>
        <w:t>The average amount of hydrocarbon generated from the Xiahuayuan shales is about 4.33 cm</w:t>
      </w:r>
      <w:r w:rsidRPr="003532DF">
        <w:rPr>
          <w:vertAlign w:val="superscript"/>
        </w:rPr>
        <w:t>3</w:t>
      </w:r>
      <w:r w:rsidRPr="003532DF">
        <w:t xml:space="preserve"> CH</w:t>
      </w:r>
      <w:r w:rsidRPr="003532DF">
        <w:rPr>
          <w:vertAlign w:val="subscript"/>
        </w:rPr>
        <w:t>4</w:t>
      </w:r>
      <w:r w:rsidRPr="003532DF">
        <w:t>/g rock, indicating a potential to form a shale gas reservoir.</w:t>
      </w:r>
    </w:p>
    <w:p w:rsidR="00DB42FE" w:rsidRPr="003532DF" w:rsidRDefault="00DB42FE" w:rsidP="000A2352">
      <w:pPr>
        <w:pStyle w:val="EndNoteBibliography"/>
        <w:ind w:left="630" w:hanging="270"/>
      </w:pPr>
      <w:r w:rsidRPr="003532DF">
        <w:t>3.</w:t>
      </w:r>
      <w:r w:rsidRPr="003532DF">
        <w:tab/>
        <w:t>Owing to the influence of diabase intrusions, the Xiahuayuan shales have entered the dry gas window at relatively shallow-buried depths.</w:t>
      </w:r>
    </w:p>
    <w:p w:rsidR="00DB42FE" w:rsidRPr="003532DF" w:rsidRDefault="00DB42FE" w:rsidP="000A2352">
      <w:pPr>
        <w:pStyle w:val="EndNoteBibliography"/>
        <w:spacing w:after="0"/>
        <w:ind w:left="630" w:hanging="270"/>
      </w:pPr>
      <w:r w:rsidRPr="003532DF">
        <w:t>4.</w:t>
      </w:r>
      <w:r w:rsidRPr="003532DF">
        <w:tab/>
        <w:t>Small- and medium-sized basins have the potential to generate commercial gas reservoirs with the generated volume mainly a product of the thickness and maturity of black shales.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Liu, M., Zhang, Y., Shi, K., Melack, J., Zhang, Y., Zhou, Y., Zhu, M., Zhu, G., Wu, Z., Liu, M., </w:t>
      </w:r>
      <w:r w:rsidR="00616347">
        <w:t xml:space="preserve">2020. </w:t>
      </w:r>
      <w:r w:rsidRPr="003532DF">
        <w:t>Spatial variations of subsurface chlorophyll maxima during thermal stratification in a large, deep subtropical reservoir. Journal of Geophysical Research: Biogeosciences 125, e2019JG005480.</w:t>
      </w:r>
    </w:p>
    <w:p w:rsidR="00DB42FE" w:rsidRPr="003532DF" w:rsidRDefault="00DB42FE" w:rsidP="00616347">
      <w:pPr>
        <w:pStyle w:val="EndNoteBibliography"/>
        <w:ind w:left="360"/>
      </w:pPr>
      <w:r w:rsidRPr="003532DF">
        <w:t>https://doi.org/10.1029/2019JG005480</w:t>
      </w:r>
    </w:p>
    <w:p w:rsidR="00DB42FE" w:rsidRPr="003532DF" w:rsidRDefault="00DB42FE" w:rsidP="00616347">
      <w:pPr>
        <w:pStyle w:val="EndNoteBibliography"/>
        <w:ind w:left="360"/>
      </w:pPr>
      <w:r w:rsidRPr="003532DF">
        <w:t>Abstract: Subsurface chlorophyll maxima (SCM) are found in stratified lakes, reservoirs, and oceans. Spatial variations of the SCM magnitude, depth, and thickness during stratification and related factors were examined in a large, deep subtropical reservoir, Lake Qiandaohu. Significant spatial differences in the SCM parameters were found throughout the lake as thermal stratification developed in the late spring of 2014. SCM depth and thickness were positively correlated with euphotic depth and mixed layer depth but negatively correlated with epilimnetic nutrient concentrations. SCM magnitude was negatively correlated with euphotic depth and mixed layer depth and positively correlated with epilimnetic nutrient concentrations. Seasonal variations in SCM differed among subregions of the lake, which were related to seasonal differences in environmental parameters. SCM (averaging 66.2 mg/m</w:t>
      </w:r>
      <w:r w:rsidRPr="003532DF">
        <w:rPr>
          <w:vertAlign w:val="superscript"/>
        </w:rPr>
        <w:t>2</w:t>
      </w:r>
      <w:r w:rsidRPr="003532DF">
        <w:t xml:space="preserve"> in spring and 96.4 mg/m</w:t>
      </w:r>
      <w:r w:rsidRPr="003532DF">
        <w:rPr>
          <w:vertAlign w:val="superscript"/>
        </w:rPr>
        <w:t>2</w:t>
      </w:r>
      <w:r w:rsidRPr="003532DF">
        <w:t xml:space="preserve"> in summer) accounted for about 82% of the total areal chlorophyll of the water column (T</w:t>
      </w:r>
      <w:r w:rsidRPr="003532DF">
        <w:rPr>
          <w:vertAlign w:val="subscript"/>
        </w:rPr>
        <w:t>chl</w:t>
      </w:r>
      <w:r w:rsidRPr="003532DF">
        <w:t>), and the SCM magnitude was better correlated with T</w:t>
      </w:r>
      <w:r w:rsidRPr="003532DF">
        <w:rPr>
          <w:vertAlign w:val="subscript"/>
        </w:rPr>
        <w:t>chl</w:t>
      </w:r>
      <w:r w:rsidRPr="003532DF">
        <w:t xml:space="preserve"> than the surface chlorophyll concentration. This study contributes to understanding of factors causing spatial variations in of SCM in the deep subtropical lakes.</w:t>
      </w:r>
    </w:p>
    <w:p w:rsidR="00DB42FE" w:rsidRPr="003532DF" w:rsidRDefault="00DB42FE" w:rsidP="00616347">
      <w:pPr>
        <w:pStyle w:val="EndNoteBibliography"/>
        <w:spacing w:after="0"/>
        <w:ind w:left="360"/>
      </w:pPr>
      <w:r w:rsidRPr="003532DF">
        <w:t>Plain Language Summary: In deep lakes or reservoirs, maximum chlorophyll concentrations often occur as subsurface chlorophyll maxima (SCM). In this study, a large and deep reservoir in China, Lake Qiandaohu, was selected to investigate the spatial and seasonal variations of the SCM. We used chlorophyll fluorescence profiles from 60 sites distributed across the lake in spring and summer in 2014 to determine SCM magnitude, depth, and thickness and to examine factors related to the variations. Higher water clarity, deeper mixing depth, and less epilimnetic nutrients led to lower SCM magnitude, thicker SCM thickness, and deeper SCM depth.</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Liu, P., Wang, Y., Zhou, Z., Yuan, H., Zheng, T., Chen, Y., </w:t>
      </w:r>
      <w:r w:rsidR="00616347">
        <w:t xml:space="preserve">2020. </w:t>
      </w:r>
      <w:r w:rsidRPr="003532DF">
        <w:t>Effect of carbon structure on hydrogen release derived from different biomass pyrolysis. Fuel 271, 117638.</w:t>
      </w:r>
    </w:p>
    <w:p w:rsidR="00DB42FE" w:rsidRPr="003532DF" w:rsidRDefault="00DB42FE" w:rsidP="00616347">
      <w:pPr>
        <w:pStyle w:val="EndNoteBibliography"/>
        <w:ind w:left="360"/>
      </w:pPr>
      <w:r w:rsidRPr="003532DF">
        <w:t>http://www.sciencedirect.com/science/article/pii/S0016236120306335</w:t>
      </w:r>
    </w:p>
    <w:p w:rsidR="00DB42FE" w:rsidRPr="003532DF" w:rsidRDefault="00DB42FE" w:rsidP="00616347">
      <w:pPr>
        <w:pStyle w:val="EndNoteBibliography"/>
        <w:spacing w:after="0"/>
        <w:ind w:left="360"/>
      </w:pPr>
      <w:r w:rsidRPr="003532DF">
        <w:t>Producing hydrogen from biomass via pyrolysis is a promising solution to meet the increasing demand for fossil fuel and CO</w:t>
      </w:r>
      <w:r w:rsidRPr="003532DF">
        <w:rPr>
          <w:vertAlign w:val="subscript"/>
        </w:rPr>
        <w:t>2</w:t>
      </w:r>
      <w:r w:rsidRPr="003532DF">
        <w:t xml:space="preserve"> release reduction. The correlation between hydrogen release and biomass structure during pyrolysis is investigated in this study. Pyrolysis gases including hydrogen, </w:t>
      </w:r>
      <w:r w:rsidRPr="003532DF">
        <w:lastRenderedPageBreak/>
        <w:t>CH</w:t>
      </w:r>
      <w:r w:rsidRPr="003532DF">
        <w:rPr>
          <w:vertAlign w:val="subscript"/>
        </w:rPr>
        <w:t>4</w:t>
      </w:r>
      <w:r w:rsidRPr="003532DF">
        <w:t>, CO, and CO</w:t>
      </w:r>
      <w:r w:rsidRPr="003532DF">
        <w:rPr>
          <w:vertAlign w:val="subscript"/>
        </w:rPr>
        <w:t>2</w:t>
      </w:r>
      <w:r w:rsidRPr="003532DF">
        <w:t xml:space="preserve"> from three representative biomass, namely, pine, cottonwood and rice straw, are collected from fixed bed reactor and analyzed by gas chromatography (GC). The carbon structure is quantitatively determined by C-13 Nuclear Magnetic Resonance (</w:t>
      </w:r>
      <w:r w:rsidRPr="003532DF">
        <w:rPr>
          <w:vertAlign w:val="superscript"/>
        </w:rPr>
        <w:t>13</w:t>
      </w:r>
      <w:r w:rsidRPr="003532DF">
        <w:t>C NMR) using curve-fitting methods. Pyrolysis tar composition is monitored using gas chromatography coupled with a mass spectrometer (GC–MS). The results show that carbon structure in biomass has a significant effect on hydrogen release behavior. Hydrogen generation mostly caused by conversion of aromatics, steam reforming of alkanes and water gas reaction, which is related to lignin structures, the content of relative weak bond, and H/C ratio. The carbon structure in rice straw has more weak bonds, such as carbonyl group (2.08%), amorphous cellulose (11.19%) and ethers in lignins (9.22%), the H/C ration in rice straw is also 1.40, which is producing more tar and CH</w:t>
      </w:r>
      <w:r w:rsidRPr="003532DF">
        <w:rPr>
          <w:vertAlign w:val="subscript"/>
        </w:rPr>
        <w:t>4</w:t>
      </w:r>
      <w:r w:rsidRPr="003532DF">
        <w:t xml:space="preserve"> such that favoring the reforming reaction for hydrogen production. Its hydrogen release rate reaches to a maximum of 4.11 ml/min·g at 650 °C, higher than 2.86 ml/min·g of cottonwood and 4.05 ml/min·g of pine at 750 °C. The total hydrogen yield between 400 and 900 °C is in the order of rice straw (117.76 ml/g) &gt; pine (98.95 ml/g) &gt; cottonwood (76.99 ml/g).</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Liu, R., Hao, F., Engelder, T., Shu, Z., Yi, J., Xu, S., Teng, C., </w:t>
      </w:r>
      <w:r w:rsidR="00616347">
        <w:t xml:space="preserve">2020. </w:t>
      </w:r>
      <w:r w:rsidRPr="003532DF">
        <w:t>Influence of tectonic exhumation on porosity of Wufeng–Longmaxi shale in the Fuling gas field of the eastern Sichuan Basin, China. American Association of Petroleum Geologists Bulletin 104, 939-959.</w:t>
      </w:r>
    </w:p>
    <w:p w:rsidR="00DB42FE" w:rsidRPr="003532DF" w:rsidRDefault="00DB42FE" w:rsidP="00616347">
      <w:pPr>
        <w:pStyle w:val="EndNoteBibliography"/>
        <w:ind w:left="360"/>
      </w:pPr>
      <w:r w:rsidRPr="003532DF">
        <w:t>http://archives.datapages.com/data/bulletns/2020/04apr/BLTN18071/bltn18071.html</w:t>
      </w:r>
    </w:p>
    <w:p w:rsidR="00DB42FE" w:rsidRPr="003532DF" w:rsidRDefault="00DB42FE" w:rsidP="00616347">
      <w:pPr>
        <w:pStyle w:val="EndNoteBibliography"/>
        <w:spacing w:after="0"/>
        <w:ind w:left="360"/>
      </w:pPr>
      <w:r w:rsidRPr="003532DF">
        <w:t>Thermal cracking of organic matter (OM) can enhance gas-shale porosity. However, thermally matured shales are generally characterized by low porosity with high OM content in tectonic exhumation settings. The Wufeng–Longmaxi shale in the Fuling gas field, China, was investigated via bulk analysis and scanning electron microscopy to reveal the influence of tectonic exhumation on the porosity of OM-rich shale. Thermal maturity and organic and mineralogical compositions are regionally homogeneous in the Fuling gas field. Shale porosity is positively correlated with total organic carbon (</w:t>
      </w:r>
      <w:r w:rsidRPr="003532DF">
        <w:rPr>
          <w:i/>
        </w:rPr>
        <w:t>TOC</w:t>
      </w:r>
      <w:r w:rsidRPr="003532DF">
        <w:t>) and clay mineral content in the gentle and open anticlines, respectively. The OM-hosted pores were preserved with spherical morphologies because of overpressure-associated overburden stress unloading in the gentle anticlines, whereas OM-hosted pores in the open anticlines are characterized by high aspect ratios and are regularly aligned perpendicular to lateral compression stress. A simple simulation confirmed that tectonic folding and compaction during exhumation caused the loss of porosity in the inner arcs of the open anticlines. Only pressure shadows formed by assemblages of clay mineral platelets and mechanically competent grains inhibited tectonic compaction of some OM-hosted pores in the open anticlines. Tectonic compaction of porosity generally increased the mean value of water saturation in the open anticlines. The extremely high water saturation (&gt;60%) in the high-</w:t>
      </w:r>
      <w:r w:rsidRPr="003532DF">
        <w:rPr>
          <w:i/>
        </w:rPr>
        <w:t>TOC</w:t>
      </w:r>
      <w:r w:rsidRPr="003532DF">
        <w:t xml:space="preserve"> interval (&gt;2 wt. %) was generally associated with natural fractures, suggesting the occurrence of gas leakage.</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Liu, X., Li, A., Ma, Z., Dong, J., Zhang, K., Xu, F., Wang, H., </w:t>
      </w:r>
      <w:r w:rsidR="00616347">
        <w:t xml:space="preserve">2020. </w:t>
      </w:r>
      <w:r w:rsidRPr="003532DF">
        <w:t>Constraint of sedimentary processes on the sulfur isotope of authigenic pyrite. Acta Sedimentologica Sinica 38, 124-137 http://www.cjxb.ac.cn/EN/abstract/abstract4077.shtml</w:t>
      </w:r>
    </w:p>
    <w:p w:rsidR="00DB42FE" w:rsidRPr="003532DF" w:rsidRDefault="00DB42FE" w:rsidP="00616347">
      <w:pPr>
        <w:pStyle w:val="EndNoteBibliography"/>
        <w:spacing w:after="0"/>
        <w:ind w:left="360"/>
      </w:pPr>
      <w:r w:rsidRPr="003532DF">
        <w:t xml:space="preserve">Authigenic pyrite is the main mineral specie of reduced sulfur in marine sediments. Its formation process is related to organic mineralization and affects the global C-S-Fe biogeochemical cycle. Sulfur isotope fractionation of authigenic pyrite is mainly controlled by microbial sulfate reduction,but recent studies have indicated that the local depositional environment also affects the </w:t>
      </w:r>
      <w:r w:rsidRPr="003532DF">
        <w:lastRenderedPageBreak/>
        <w:t>composition of pyrite sulfur isotopes,especially in shallow depositional environments. In an unsteady shallow environment,physical reworking and bioturbation lead to reoxidation of sulfides formed in the sulfate reduction zone,which in turn affects the sulfur isotopes of pyrite. The sedimentation process in a shallow depositional environment is readily affected by paleoclimate and sea-level changes,which cause drastic fluctuations in sedimentation rate as well as instable input of,for instance,organic matter and active iron. This in turn affects the openness of the diagenetic system and ultimately affects the isotopic value of pyritic sulfur. In addition,any change in sedimentation rate also affects the movement of the sulfate-methane transition zone,resulting in the conversion of organic matter and anaerobic oxidation methane sulfate reduction,producing different sulfur isotope signals. The study of the sulfur isotopes of authigenic pyrite in the mud area of the inner shelf of the East China Sea provides a good example for depositional control on the formation of authigenic pyrite and its sulfur isotope composition. The sedimentary process of this area has been well studied,and its sediments have been shown to be enriched in authigenic pyrite and biogas(CH4). Therefore,it is an ideal site for studying the sulfur cycle in a marginal sea,and is expected to provide a new perspective on the global C-S-Fe biogeochemical cycle.</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Liu, Y., Hou, J., Wang, C., </w:t>
      </w:r>
      <w:r w:rsidR="00616347">
        <w:t xml:space="preserve">2020. </w:t>
      </w:r>
      <w:r w:rsidRPr="003532DF">
        <w:t>Absolute adsorption of CH</w:t>
      </w:r>
      <w:r w:rsidRPr="003532DF">
        <w:rPr>
          <w:vertAlign w:val="subscript"/>
        </w:rPr>
        <w:t>4</w:t>
      </w:r>
      <w:r w:rsidRPr="003532DF">
        <w:t xml:space="preserve"> on shale with the simplified local-density theory. SPE Journal 25, 212-225.</w:t>
      </w:r>
    </w:p>
    <w:p w:rsidR="00DB42FE" w:rsidRPr="003532DF" w:rsidRDefault="00DB42FE" w:rsidP="00616347">
      <w:pPr>
        <w:pStyle w:val="EndNoteBibliography"/>
        <w:ind w:left="360"/>
      </w:pPr>
      <w:r w:rsidRPr="003532DF">
        <w:t>https://doi.org/10.2118/199344-PA</w:t>
      </w:r>
    </w:p>
    <w:p w:rsidR="00DB42FE" w:rsidRPr="003532DF" w:rsidRDefault="00DB42FE" w:rsidP="00616347">
      <w:pPr>
        <w:pStyle w:val="EndNoteBibliography"/>
        <w:spacing w:after="0"/>
        <w:ind w:left="360"/>
      </w:pPr>
      <w:r w:rsidRPr="003532DF">
        <w:t>Using a thermogravimetric (TGA) method, the excess methane (CH</w:t>
      </w:r>
      <w:r w:rsidRPr="003532DF">
        <w:rPr>
          <w:vertAlign w:val="subscript"/>
        </w:rPr>
        <w:t>4</w:t>
      </w:r>
      <w:r w:rsidRPr="003532DF">
        <w:t>) adsorption of four organic shale samples is measured at temperatures of 303.15 to 383.15 K and pressures of 0 to 15.0 MPa. Simplified-local-density (SLD) theory is used to calculate the density distribution of CH</w:t>
      </w:r>
      <w:r w:rsidRPr="003532DF">
        <w:rPr>
          <w:vertAlign w:val="subscript"/>
        </w:rPr>
        <w:t>4</w:t>
      </w:r>
      <w:r w:rsidRPr="003532DF">
        <w:t xml:space="preserve"> in nanopores, which is then used to obtain the adsorbed CH</w:t>
      </w:r>
      <w:r w:rsidRPr="003532DF">
        <w:rPr>
          <w:vertAlign w:val="subscript"/>
        </w:rPr>
        <w:t>4</w:t>
      </w:r>
      <w:r w:rsidRPr="003532DF">
        <w:t xml:space="preserve"> density on four shale samples. Such density is applied to obtain the absolute CH</w:t>
      </w:r>
      <w:r w:rsidRPr="003532DF">
        <w:rPr>
          <w:vertAlign w:val="subscript"/>
        </w:rPr>
        <w:t>4</w:t>
      </w:r>
      <w:r w:rsidRPr="003532DF">
        <w:t xml:space="preserve"> adsorption by correcting the measured excess CH</w:t>
      </w:r>
      <w:r w:rsidRPr="003532DF">
        <w:rPr>
          <w:vertAlign w:val="subscript"/>
        </w:rPr>
        <w:t>4</w:t>
      </w:r>
      <w:r w:rsidRPr="003532DF">
        <w:t xml:space="preserve"> adsorption. SLD theory shows that the adsorbed CH</w:t>
      </w:r>
      <w:r w:rsidRPr="003532DF">
        <w:rPr>
          <w:vertAlign w:val="subscript"/>
        </w:rPr>
        <w:t>4</w:t>
      </w:r>
      <w:r w:rsidRPr="003532DF">
        <w:t xml:space="preserve"> density is strongly affected by temperature and pressure, as well as the pore size, which is in line with the previous findings from molecular simulations. SLD theory captures the density of the adsorbed phase of CH</w:t>
      </w:r>
      <w:r w:rsidRPr="003532DF">
        <w:rPr>
          <w:vertAlign w:val="subscript"/>
        </w:rPr>
        <w:t>4</w:t>
      </w:r>
      <w:r w:rsidRPr="003532DF">
        <w:t xml:space="preserve"> in the presence of CH</w:t>
      </w:r>
      <w:r w:rsidRPr="003532DF">
        <w:rPr>
          <w:vertAlign w:val="subscript"/>
        </w:rPr>
        <w:t>4</w:t>
      </w:r>
      <w:r w:rsidRPr="003532DF">
        <w:t>/pore-wall interactions. However, the SLD theory is more efficient than molecular simulation methods in determining the adsorbed CH</w:t>
      </w:r>
      <w:r w:rsidRPr="003532DF">
        <w:rPr>
          <w:vertAlign w:val="subscript"/>
        </w:rPr>
        <w:t>4</w:t>
      </w:r>
      <w:r w:rsidRPr="003532DF">
        <w:t xml:space="preserve"> density considering that only two parameters in the SLD model are adjusted to match the excess adsorption of CH</w:t>
      </w:r>
      <w:r w:rsidRPr="003532DF">
        <w:rPr>
          <w:vertAlign w:val="subscript"/>
        </w:rPr>
        <w:t>4</w:t>
      </w:r>
      <w:r w:rsidRPr="003532DF">
        <w:t xml:space="preserve"> on shale. It is observed that the corresponding absolute adsorption of CH</w:t>
      </w:r>
      <w:r w:rsidRPr="003532DF">
        <w:rPr>
          <w:vertAlign w:val="subscript"/>
        </w:rPr>
        <w:t>4</w:t>
      </w:r>
      <w:r w:rsidRPr="003532DF">
        <w:t xml:space="preserve"> is higher than the excess adsorption; this suggests that it is not reasonable to use the measured excess adsorption to estimate the storage of CH</w:t>
      </w:r>
      <w:r w:rsidRPr="003532DF">
        <w:rPr>
          <w:vertAlign w:val="subscript"/>
        </w:rPr>
        <w:t>4</w:t>
      </w:r>
      <w:r w:rsidRPr="003532DF">
        <w:t xml:space="preserve"> on shale. This study applies the SLD theory to investigate the adsorption behavior of CH</w:t>
      </w:r>
      <w:r w:rsidRPr="003532DF">
        <w:rPr>
          <w:vertAlign w:val="subscript"/>
        </w:rPr>
        <w:t>4</w:t>
      </w:r>
      <w:r w:rsidRPr="003532DF">
        <w:t xml:space="preserve"> in organic pores at different pressure/temperature conditions, and, more importantly, it yields a more-efficient approach (i.e., SLD theory) in determining the absolute adsorption than the sophisticated molecular simulations tools.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Liubartseva, S., Smaoui, M., Coppini, G., Gonzalez, G., Lecci, R., Cretì, S., Federico, I., </w:t>
      </w:r>
      <w:r w:rsidR="00616347">
        <w:t xml:space="preserve">2020. </w:t>
      </w:r>
      <w:r w:rsidRPr="003532DF">
        <w:t xml:space="preserve">Model-based reconstruction of the </w:t>
      </w:r>
      <w:r w:rsidRPr="003532DF">
        <w:rPr>
          <w:i/>
        </w:rPr>
        <w:t>Ulysse-Virginia</w:t>
      </w:r>
      <w:r w:rsidRPr="003532DF">
        <w:t xml:space="preserve"> oil spill, October–November 2018. Marine Pollution Bulletin 154, 111002.</w:t>
      </w:r>
    </w:p>
    <w:p w:rsidR="00DB42FE" w:rsidRPr="003532DF" w:rsidRDefault="00DB42FE" w:rsidP="00616347">
      <w:pPr>
        <w:pStyle w:val="EndNoteBibliography"/>
        <w:ind w:left="360"/>
      </w:pPr>
      <w:r w:rsidRPr="003532DF">
        <w:t>http://www.sciencedirect.com/science/article/pii/S0025326X2030120X</w:t>
      </w:r>
    </w:p>
    <w:p w:rsidR="00DB42FE" w:rsidRPr="003532DF" w:rsidRDefault="00DB42FE" w:rsidP="00616347">
      <w:pPr>
        <w:pStyle w:val="EndNoteBibliography"/>
        <w:spacing w:after="0"/>
        <w:ind w:left="360"/>
      </w:pPr>
      <w:r w:rsidRPr="003532DF">
        <w:t xml:space="preserve">In response to the oil spill caused by the collision between the Ro-Ro ship </w:t>
      </w:r>
      <w:r w:rsidRPr="003532DF">
        <w:rPr>
          <w:i/>
        </w:rPr>
        <w:t>Ulysse</w:t>
      </w:r>
      <w:r w:rsidRPr="003532DF">
        <w:t xml:space="preserve"> and CSL </w:t>
      </w:r>
      <w:r w:rsidRPr="003532DF">
        <w:rPr>
          <w:i/>
        </w:rPr>
        <w:t>Virginia</w:t>
      </w:r>
      <w:r w:rsidRPr="003532DF">
        <w:t xml:space="preserve"> on 7</w:t>
      </w:r>
      <w:r w:rsidRPr="003532DF">
        <w:rPr>
          <w:vertAlign w:val="superscript"/>
        </w:rPr>
        <w:t>th</w:t>
      </w:r>
      <w:r w:rsidRPr="003532DF">
        <w:t xml:space="preserve"> October 2018, the Lagrangian oil spill model MEDSLIK-II was utilized to predict spill transport and </w:t>
      </w:r>
      <w:r w:rsidRPr="003532DF">
        <w:lastRenderedPageBreak/>
        <w:t>fate. Oil drift was forced by the high-resolution sea circulation provided by CMEMS and the ECMWF wind. Successive model runs were restarted 5 times with the distinct overflight- and satellite-derived observations provided by REMPEC and the Copernicus Sentinel-1 mission. The results were verified based on the ability to predict the first oil-beaching event that happened near Saint-Tropez (France) in the early afternoon of 16</w:t>
      </w:r>
      <w:r w:rsidRPr="003532DF">
        <w:rPr>
          <w:vertAlign w:val="superscript"/>
        </w:rPr>
        <w:t>th</w:t>
      </w:r>
      <w:r w:rsidRPr="003532DF">
        <w:t xml:space="preserve"> October. Despite the general consistency among the runs, only the last initialization was able to forecast the oil beaching. Stochastic MEDSLIK-II simulations forced by the historical meteo-oceanographic datasets 2014–2018 revealed that the coastlines between Cap Lardier and the Gulf of Saint-Tropez were among the most impacted areas.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Loaiza, C.S., Patiño, J.F., Mejía, J.M., </w:t>
      </w:r>
      <w:r w:rsidR="00616347">
        <w:t xml:space="preserve">2020. </w:t>
      </w:r>
      <w:r w:rsidRPr="003532DF">
        <w:t>Numerical evaluation of a combined chemical enhanced oil recovery process with polymer and nanoparticles based on experimental observations. Journal of Petroleum Science and Engineering 191, 107166.</w:t>
      </w:r>
    </w:p>
    <w:p w:rsidR="00DB42FE" w:rsidRPr="003532DF" w:rsidRDefault="00DB42FE" w:rsidP="00616347">
      <w:pPr>
        <w:pStyle w:val="EndNoteBibliography"/>
        <w:ind w:left="360"/>
      </w:pPr>
      <w:r w:rsidRPr="003532DF">
        <w:t>http://www.sciencedirect.com/science/article/pii/S0920410520302539</w:t>
      </w:r>
    </w:p>
    <w:p w:rsidR="00DB42FE" w:rsidRPr="003532DF" w:rsidRDefault="00DB42FE" w:rsidP="00616347">
      <w:pPr>
        <w:pStyle w:val="EndNoteBibliography"/>
        <w:spacing w:after="0"/>
        <w:ind w:left="360"/>
      </w:pPr>
      <w:r w:rsidRPr="003532DF">
        <w:t>Polymer flooding is the most widely implemented chemical enhanced oil recovery (CEOR) process. However, polymer degradation, caused by chemical, thermal, and mechanical stresses, is still the most notable limitation on the implementation of the technology at the field scale. Recent studies have shown that the addition of nanoparticles in a traditional polymer flooding can improve operating conditions and hydrocarbon production. Thus, a comprehensive numerical simulation study is presented to model the performance of the co-injection of polymers with nanoparticles in oil reservoirs. An articulated process was followed to take into account most of the physical and chemical mechanisms of the technique. Initially, a conceptual model was developed by identifying relevant mass transport and surface mechanisms, and their dynamics. The following phases are accounted in the model: oleic, volatile, and aqueous. Then, local mass balance equations were written for the following components: oil, gas, water, solid nanoparticles and polymers. An extended black-oil model for the hydrocarbon and aqueous phases was used. Constitutive equations were specified for polymer adsorption, rheology, degradation, and nanoparticles retention and remobilization, as well. The numerical strategy was described for numerically solving the Jacobian matrix. The model was subsequently validated in two steps: initially, the simulation results of a polymer flooding are compared to the ones obtained using a commercial software. Then, the nanoparticles transport and retention on the solid matrix was validated with experimental core-flooding tests reported in specialized literature. A set of numerical experiments of the co-injection of polymer-nanoparticles were done, showing that the synergy between both chemical species allowed to retain the viscoelastic network, which considerably improves operational and production parameters. This investigation provides a powerful tool for Oil &amp; Gas industry and can be used to design novel CEOR deployment strategies in sandstone reservoirs.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Locey, K.J., Muscarella, M.E., Larsen, M.L., Bray, S.R., Jones, S.E., Lennon, J.T., </w:t>
      </w:r>
      <w:r w:rsidR="00616347">
        <w:t xml:space="preserve">2020. </w:t>
      </w:r>
      <w:r w:rsidRPr="003532DF">
        <w:t>Dormancy dampens the microbial distance–decay relationship. Philosophical Transactions of the Royal Society B: Biological Sciences 375, 20190243.</w:t>
      </w:r>
    </w:p>
    <w:p w:rsidR="00DB42FE" w:rsidRPr="003532DF" w:rsidRDefault="00DB42FE" w:rsidP="00616347">
      <w:pPr>
        <w:pStyle w:val="EndNoteBibliography"/>
        <w:ind w:left="360"/>
      </w:pPr>
      <w:r w:rsidRPr="003532DF">
        <w:t>https://doi.org/10.1098/rstb.2019.0243</w:t>
      </w:r>
    </w:p>
    <w:p w:rsidR="00DB42FE" w:rsidRPr="003532DF" w:rsidRDefault="00DB42FE" w:rsidP="00616347">
      <w:pPr>
        <w:pStyle w:val="EndNoteBibliography"/>
        <w:spacing w:after="0"/>
        <w:ind w:left="360"/>
      </w:pPr>
      <w:r w:rsidRPr="003532DF">
        <w:t xml:space="preserve">Much of Earth's biodiversity has the capacity to engage in dormancy, a reversible state of reduced metabolic activity. By increasing resilience to unfavourable conditions, dormancy leads to the accumulation of ‘seed banks’. These reservoirs of genetic and phenotypic diversity should diminish </w:t>
      </w:r>
      <w:r w:rsidRPr="003532DF">
        <w:lastRenderedPageBreak/>
        <w:t>the strength of environmental filtering and increase rates of dispersal. Although prevalent among single-celled organisms, evidence that dormancy influences patterns of microbial biogeography is lacking. We constructed geographical and environmental distance–decay relationships (DDRs) for the total (DNA) and active (RNA) portions of bacterial communities in a regional-scale 16S rRNA survey of forested ponds in Indiana, USA. As predicted, total communities harboured greater diversity and exhibited weaker DDRs than active communities. These observations were robust to random resampling and different community metrics. To evaluate the processes underlying the biogeographic patterns, we developed a platform of mechanistic models that used the geographical coordinates and environmental characteristics of our study system. Based on more than 10</w:t>
      </w:r>
      <w:r w:rsidRPr="003532DF">
        <w:rPr>
          <w:vertAlign w:val="superscript"/>
        </w:rPr>
        <w:t>6</w:t>
      </w:r>
      <w:r w:rsidRPr="003532DF">
        <w:t xml:space="preserve"> simulations, our models approximated the empirical DDRs when there was strong environmental filtering along with the presence of long-lived seed banks. By contrast, the inclusion of dispersal generally decreased model performance. Together, our findings support recent theoretical predictions that seed banks can influence the biogeographic patterns of microbial communities.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Long, D.A., Reed, Z.D., Fleisher, A.J., Mendonca, J., Roche, S., Hodges, J.T., </w:t>
      </w:r>
      <w:r w:rsidR="00616347">
        <w:t xml:space="preserve">2020. </w:t>
      </w:r>
      <w:r w:rsidRPr="003532DF">
        <w:t>High-accuracy near-infrared carbon dioxide intensity measurements to support remote sensing. Geophysical Research Letters 47, e2019GL086344.</w:t>
      </w:r>
    </w:p>
    <w:p w:rsidR="00DB42FE" w:rsidRPr="003532DF" w:rsidRDefault="00DB42FE" w:rsidP="00616347">
      <w:pPr>
        <w:pStyle w:val="EndNoteBibliography"/>
        <w:ind w:left="360"/>
      </w:pPr>
      <w:r w:rsidRPr="003532DF">
        <w:t>https://doi.org/10.1029/2019GL086344</w:t>
      </w:r>
    </w:p>
    <w:p w:rsidR="00DB42FE" w:rsidRPr="003532DF" w:rsidRDefault="00DB42FE" w:rsidP="00616347">
      <w:pPr>
        <w:pStyle w:val="EndNoteBibliography"/>
        <w:spacing w:after="0"/>
        <w:ind w:left="360"/>
      </w:pPr>
      <w:r w:rsidRPr="003532DF">
        <w:t>Two cavity ring‐down spectrometers were employed to accurately measure line intensities in a series of near‐infrared carbon dioxide bands including (30012) ← (00001), (30013) ← (00001), and (30014) ← (00001) near 1.6 μm. Relative combined standard uncertainties for these band intensities were less than 0.1% and showed significant, percent‐level deviations with respect to many existing spectroscopic databases (although close agreement was observed with the HITRAN 2016 database in the (30013) ← (00001) and (30014) ← (00001) bands). Further, the resulting line intensities were utilized in Total Carbon Column Observing Network retrievals and led to significantly reduced biases in the (30012) ← (00001) and (30013) ← (00001) bands. These results indicate that refinements of spectroscopic databases are required to meet the accuracy targets of both ground‐ and satellite‐based remote sensing missions.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Luo, M., Shi, G.R., Buatois, L.A., Chen, Z.-Q., </w:t>
      </w:r>
      <w:r w:rsidR="00616347">
        <w:t xml:space="preserve">2020. </w:t>
      </w:r>
      <w:r w:rsidRPr="003532DF">
        <w:t>Trace fossils as proxy for biotic recovery after the end-Permian mass extinction: A critical review. Earth-Science Reviews 203, 103059.</w:t>
      </w:r>
    </w:p>
    <w:p w:rsidR="00DB42FE" w:rsidRPr="003532DF" w:rsidRDefault="00DB42FE" w:rsidP="00616347">
      <w:pPr>
        <w:pStyle w:val="EndNoteBibliography"/>
        <w:ind w:left="360"/>
      </w:pPr>
      <w:r w:rsidRPr="003532DF">
        <w:t>http://www.sciencedirect.com/science/article/pii/S0012825219305690</w:t>
      </w:r>
    </w:p>
    <w:p w:rsidR="00DB42FE" w:rsidRPr="003532DF" w:rsidRDefault="00DB42FE" w:rsidP="00616347">
      <w:pPr>
        <w:pStyle w:val="EndNoteBibliography"/>
        <w:spacing w:after="0"/>
        <w:ind w:left="360"/>
      </w:pPr>
      <w:r w:rsidRPr="003532DF">
        <w:t xml:space="preserve">Trace fossils represent records of the activity of both epifaunal and infaunal animals, providing significant information for a deeper understanding of Earth's past environments and ecosystems. Increasingly, more and more ichno-metrics (quantitative ichnological indicators) have been proposed and applied to critical geological intervals as a methodology to assess the mechanisms and timing of biotic recoveries following mass extinctions. However, detailed assessment of the robustness and the scope of their applications is needed before we place them on more solid theoretical grounds. This paper presents a critical review of a range of popularly used ichnological parameters, including ichnodiversity, bioturbation index, ichnofabric index, bedding plane bioturbation index, burrow size, complexity, tiering, key ichnotaxa and some new parameters (e.g., ichnodisparity) with respect to their applicability and relative robustness as proxies for assessing the pacing of marine ecosystem recovery following major biotic perturbations, with a particular </w:t>
      </w:r>
      <w:r w:rsidRPr="003532DF">
        <w:lastRenderedPageBreak/>
        <w:t xml:space="preserve">reference to the end-Permian mass extinction event. A detailed summary of the significance and caveats of each parameter is also provided. We suggest that bedding plane bioturbation index remains to be explored to indicate recovery while ichnodisparity holds potential to assess biotic recovery in future studies. Key ichnotaxa (e.g., </w:t>
      </w:r>
      <w:r w:rsidRPr="003532DF">
        <w:rPr>
          <w:i/>
        </w:rPr>
        <w:t>Rhizocorallium</w:t>
      </w:r>
      <w:r w:rsidRPr="003532DF">
        <w:t xml:space="preserve"> and </w:t>
      </w:r>
      <w:r w:rsidRPr="003532DF">
        <w:rPr>
          <w:i/>
        </w:rPr>
        <w:t>Thalassinoides</w:t>
      </w:r>
      <w:r w:rsidRPr="003532DF">
        <w:t>) that are produced by malacostracan crustaceans, among other organisms, can be reliable indicators of environmental stability and ecosystem recovery. Further, we propose that the overall low bioturbation intensities may have substantially influenced marine elemental cycling during the Permian–Triassic transition that led to a possible drawdown of sulfate concentration in the Early Triassic oceans through enhanced pyrite burial.</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Luo, R., Ma, G., Bi, S., Duan, Q., Chen, J., Feng, Y., Liu, F., Lee, J., </w:t>
      </w:r>
      <w:r w:rsidR="00616347">
        <w:t xml:space="preserve">2020. </w:t>
      </w:r>
      <w:r w:rsidRPr="003532DF">
        <w:t>Machine learning for total organic carbon analysis of environmental water samples using high-throughput colorimetric sensors. Analyst 145, 2197-2203.</w:t>
      </w:r>
    </w:p>
    <w:p w:rsidR="00DB42FE" w:rsidRPr="003532DF" w:rsidRDefault="00DB42FE" w:rsidP="00616347">
      <w:pPr>
        <w:pStyle w:val="EndNoteBibliography"/>
        <w:ind w:left="360"/>
      </w:pPr>
      <w:r w:rsidRPr="003532DF">
        <w:t>http://dx.doi.org/10.1039/C9AN02267H</w:t>
      </w:r>
    </w:p>
    <w:p w:rsidR="00DB42FE" w:rsidRPr="003532DF" w:rsidRDefault="00DB42FE" w:rsidP="00616347">
      <w:pPr>
        <w:pStyle w:val="EndNoteBibliography"/>
        <w:spacing w:after="0"/>
        <w:ind w:left="360"/>
      </w:pPr>
      <w:r w:rsidRPr="003532DF">
        <w:t>Due to the complexity of nonlinear reactions, the analysis of environmental samples often relies on expensive equipment as well as tedious and time-consuming experimental procedures. Currently, the efficient machine learning (ML) strategy based on big data offers some new insights for the analysis of complex components in the environmental field. In this study, ML was applied for the analysis of total organic carbon (TOC). We prepared a special colorimetric sensor (c-sensor) by inkjet printing. The sensor reacted with water samples in a high-throughput process, producing characteristic patterns to map TOC information in water samples. To quickly acquire TOC information on c-sensors, a ML model was proposed to describe the relationship between the c-sensor and TOC value. According to this study, the c-sensor and ML can be effectively applied to TOC information analysis of environmental water samples, which provides convenience for environmental research. It is foreseeable that ML has a broad prospect of application in environmental research.</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Lv, Q., Zhou, T., Zhang, X., Zuo, B., Dong, Z., Zhang, J., </w:t>
      </w:r>
      <w:r w:rsidR="00616347">
        <w:t xml:space="preserve">2020. </w:t>
      </w:r>
      <w:r w:rsidRPr="003532DF">
        <w:t>Enhanced oil recovery using aqueous CO</w:t>
      </w:r>
      <w:r w:rsidRPr="003532DF">
        <w:rPr>
          <w:vertAlign w:val="subscript"/>
        </w:rPr>
        <w:t>2</w:t>
      </w:r>
      <w:r w:rsidRPr="003532DF">
        <w:t xml:space="preserve"> foam stabilized by particulate matter from coal combustion. Energy &amp; Fuels 34, 2880-2892.</w:t>
      </w:r>
    </w:p>
    <w:p w:rsidR="00DB42FE" w:rsidRPr="003532DF" w:rsidRDefault="00DB42FE" w:rsidP="00616347">
      <w:pPr>
        <w:pStyle w:val="EndNoteBibliography"/>
        <w:ind w:left="360"/>
      </w:pPr>
      <w:r w:rsidRPr="003532DF">
        <w:t>https://doi.org/10.1021/acs.energyfuels.9b04066</w:t>
      </w:r>
    </w:p>
    <w:p w:rsidR="00DB42FE" w:rsidRPr="003532DF" w:rsidRDefault="00DB42FE" w:rsidP="00616347">
      <w:pPr>
        <w:pStyle w:val="EndNoteBibliography"/>
        <w:spacing w:after="0"/>
        <w:ind w:left="360"/>
      </w:pPr>
      <w:r w:rsidRPr="003532DF">
        <w:t>Carbon dioxide (CO</w:t>
      </w:r>
      <w:r w:rsidRPr="003532DF">
        <w:rPr>
          <w:vertAlign w:val="subscript"/>
        </w:rPr>
        <w:t>2</w:t>
      </w:r>
      <w:r w:rsidRPr="003532DF">
        <w:t>) foam flooding is a promising carbon capture, utilization, and storage technology that is often used for enhanced oil recovery (EOR). However, the instability of foam and low displacement efficiency restrict its efficient utilization. In this work, the microflow behavior and the EOR performance of aqueous CO</w:t>
      </w:r>
      <w:r w:rsidRPr="003532DF">
        <w:rPr>
          <w:vertAlign w:val="subscript"/>
        </w:rPr>
        <w:t>2</w:t>
      </w:r>
      <w:r w:rsidRPr="003532DF">
        <w:t xml:space="preserve"> foam stabilized by particulate matter (PM) from coal combustion were systematically studied using a micromodel with etched porous media. The results showed that, when a moderate camellia oleifera saponin (COS) concentration was used, the addition of PM could transfer the maximum foam volume to a higher temperature. Moreover, with the addition of PM, the half-life of CO</w:t>
      </w:r>
      <w:r w:rsidRPr="003532DF">
        <w:rPr>
          <w:vertAlign w:val="subscript"/>
        </w:rPr>
        <w:t>2</w:t>
      </w:r>
      <w:r w:rsidRPr="003532DF">
        <w:t xml:space="preserve"> foam drainage could be increased by </w:t>
      </w:r>
      <w:r w:rsidRPr="003532DF">
        <w:rPr>
          <w:rFonts w:ascii="Cambria Math" w:hAnsi="Cambria Math" w:cs="Cambria Math"/>
        </w:rPr>
        <w:t>∼</w:t>
      </w:r>
      <w:r w:rsidRPr="003532DF">
        <w:t xml:space="preserve">12 times at 75 </w:t>
      </w:r>
      <w:r w:rsidRPr="003532DF">
        <w:rPr>
          <w:rFonts w:cs="Calibri"/>
        </w:rPr>
        <w:t>°</w:t>
      </w:r>
      <w:r w:rsidRPr="003532DF">
        <w:t>C. The disproportionation, coalescence, and film rupture of CO</w:t>
      </w:r>
      <w:r w:rsidRPr="003532DF">
        <w:rPr>
          <w:vertAlign w:val="subscript"/>
        </w:rPr>
        <w:t>2</w:t>
      </w:r>
      <w:r w:rsidRPr="003532DF">
        <w:t xml:space="preserve"> foams in the porous media slowed down in the presence of PM. At high water cut stage, the different types of microresidual oil, such as cluster, columnar, membrane, and blind-end, could effectively be activated and displaced by the PM/COS foam. During the flooding, the high stability of PM/COS foam in the presence of oil guaranteed the efficiency of the whole process. The solid-like foam film enhanced the plugging effect in the water </w:t>
      </w:r>
      <w:r w:rsidRPr="003532DF">
        <w:lastRenderedPageBreak/>
        <w:t xml:space="preserve">channel. The rough surface of the PM/COS bubble with high interfacial viscoelasticity enhanced the scrubbing capacity of the bubble to residual oil. According to the sandpack flooding results, the recovery of oil increased by </w:t>
      </w:r>
      <w:r w:rsidRPr="003532DF">
        <w:rPr>
          <w:rFonts w:ascii="Cambria Math" w:hAnsi="Cambria Math" w:cs="Cambria Math"/>
        </w:rPr>
        <w:t>∼</w:t>
      </w:r>
      <w:r w:rsidRPr="003532DF">
        <w:t>40.85% due to the injection of PM/COS foam and subsequent water at 60 °C, which was about twice of the oil recovery obtained using pure surfactant foam.</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Ma, B., Cao, Y., Zhang, Y., Eriksson, K.A., </w:t>
      </w:r>
      <w:r w:rsidR="00616347">
        <w:t xml:space="preserve">2020. </w:t>
      </w:r>
      <w:r w:rsidRPr="003532DF">
        <w:t>Role of CO</w:t>
      </w:r>
      <w:r w:rsidRPr="003532DF">
        <w:rPr>
          <w:vertAlign w:val="subscript"/>
        </w:rPr>
        <w:t>2</w:t>
      </w:r>
      <w:r w:rsidRPr="003532DF">
        <w:t>-water-rock interactions and implications for CO</w:t>
      </w:r>
      <w:r w:rsidRPr="003532DF">
        <w:rPr>
          <w:vertAlign w:val="subscript"/>
        </w:rPr>
        <w:t>2</w:t>
      </w:r>
      <w:r w:rsidRPr="003532DF">
        <w:t xml:space="preserve"> sequestration in Eocene deeply buried sandstones in the Bonan Sag, eastern Bohai Bay Basin, China. Chemical Geology 541, 119585.</w:t>
      </w:r>
    </w:p>
    <w:p w:rsidR="00DB42FE" w:rsidRPr="003532DF" w:rsidRDefault="00DB42FE" w:rsidP="00616347">
      <w:pPr>
        <w:pStyle w:val="EndNoteBibliography"/>
        <w:ind w:left="360"/>
      </w:pPr>
      <w:r w:rsidRPr="003532DF">
        <w:t>http://www.sciencedirect.com/science/article/pii/S0009254120301248</w:t>
      </w:r>
    </w:p>
    <w:p w:rsidR="00DB42FE" w:rsidRPr="003532DF" w:rsidRDefault="00DB42FE" w:rsidP="00616347">
      <w:pPr>
        <w:pStyle w:val="EndNoteBibliography"/>
        <w:spacing w:after="0"/>
        <w:ind w:left="360"/>
      </w:pPr>
      <w:r w:rsidRPr="003532DF">
        <w:t>This study explores CO</w:t>
      </w:r>
      <w:r w:rsidRPr="003532DF">
        <w:rPr>
          <w:vertAlign w:val="subscript"/>
        </w:rPr>
        <w:t>2</w:t>
      </w:r>
      <w:r w:rsidRPr="003532DF">
        <w:t>-water-rock interactions in Eocene hydrocarbon sandstone reservoirs in eastern Bohai Bay Basin, China, to document mineral alterations and their implications for CO</w:t>
      </w:r>
      <w:r w:rsidRPr="003532DF">
        <w:rPr>
          <w:vertAlign w:val="subscript"/>
        </w:rPr>
        <w:t>2</w:t>
      </w:r>
      <w:r w:rsidRPr="003532DF">
        <w:t xml:space="preserve"> geological sequestration. Petrographic, geochemical and reactive transport modeling evidences reveal that various inorganic mineral alterations occur during organic CO</w:t>
      </w:r>
      <w:r w:rsidRPr="003532DF">
        <w:rPr>
          <w:vertAlign w:val="subscript"/>
        </w:rPr>
        <w:t>2</w:t>
      </w:r>
      <w:r w:rsidRPr="003532DF">
        <w:t xml:space="preserve"> intrusion from adjacent source rocks into sandstone reservoirs including: (1) pervasive dissolution of calcite and chlorite minerals that are re-precipitated as secondary, more stable dolomite and ankerite cements; (2) precipitation of low-temperature calcite cements (27–49 °C) and relatively high-temperature dolomite (88–111 °C) and ankerite (103–136 °C) cements based on their δ</w:t>
      </w:r>
      <w:r w:rsidRPr="003532DF">
        <w:rPr>
          <w:vertAlign w:val="superscript"/>
        </w:rPr>
        <w:t>18</w:t>
      </w:r>
      <w:r w:rsidRPr="003532DF">
        <w:t>O</w:t>
      </w:r>
      <w:r w:rsidRPr="003532DF">
        <w:rPr>
          <w:vertAlign w:val="subscript"/>
        </w:rPr>
        <w:t>PDB</w:t>
      </w:r>
      <w:r w:rsidRPr="003532DF">
        <w:t xml:space="preserve"> values (−11.91‰ to −7.86‰ for calcite; −15.16‰ to −12.48‰ for dolomite and −17.71‰ to −14.32‰ for ankerite); (3) Carbon sources for dolomite and ankerite cements (δ</w:t>
      </w:r>
      <w:r w:rsidRPr="003532DF">
        <w:rPr>
          <w:vertAlign w:val="superscript"/>
        </w:rPr>
        <w:t>13</w:t>
      </w:r>
      <w:r w:rsidRPr="003532DF">
        <w:t>C</w:t>
      </w:r>
      <w:r w:rsidRPr="003532DF">
        <w:rPr>
          <w:vertAlign w:val="subscript"/>
        </w:rPr>
        <w:t>PDB</w:t>
      </w:r>
      <w:r w:rsidRPr="003532DF">
        <w:t xml:space="preserve"> from −7.59‰ to −3.58‰) are a mixture of carbon derived from early-formed calcite precursors (δ</w:t>
      </w:r>
      <w:r w:rsidRPr="003532DF">
        <w:rPr>
          <w:vertAlign w:val="superscript"/>
        </w:rPr>
        <w:t>13</w:t>
      </w:r>
      <w:r w:rsidRPr="003532DF">
        <w:t>C</w:t>
      </w:r>
      <w:r w:rsidRPr="003532DF">
        <w:rPr>
          <w:vertAlign w:val="subscript"/>
        </w:rPr>
        <w:t>PDB</w:t>
      </w:r>
      <w:r w:rsidRPr="003532DF">
        <w:t xml:space="preserve"> from–0.26‰ to +3.75‰) with significant proportions of organic carbon (δ</w:t>
      </w:r>
      <w:r w:rsidRPr="003532DF">
        <w:rPr>
          <w:vertAlign w:val="superscript"/>
        </w:rPr>
        <w:t>13</w:t>
      </w:r>
      <w:r w:rsidRPr="003532DF">
        <w:t>C</w:t>
      </w:r>
      <w:r w:rsidRPr="003532DF">
        <w:rPr>
          <w:vertAlign w:val="subscript"/>
        </w:rPr>
        <w:t>PDB</w:t>
      </w:r>
      <w:r w:rsidRPr="003532DF">
        <w:t xml:space="preserve"> from −25‰ to −10‰); (4) plagioclase dissolution spatially associated with precipitation of quartz and kaolinite. Reactive transport modeling results illustrate that mineral dissolution is coupled temporally and spatially with precipitation of secondary mineral phases. It is inferred that advective and diffusive mass transport of dissolved species in the extremely low pore-fluids is greatly restricted and mineral kinetics exerts more influences on CO</w:t>
      </w:r>
      <w:r w:rsidRPr="003532DF">
        <w:rPr>
          <w:vertAlign w:val="subscript"/>
        </w:rPr>
        <w:t>2</w:t>
      </w:r>
      <w:r w:rsidRPr="003532DF">
        <w:t>–water–rock interactions in the deep burial environments. The overall mineral alterations in the CO</w:t>
      </w:r>
      <w:r w:rsidRPr="003532DF">
        <w:rPr>
          <w:vertAlign w:val="subscript"/>
        </w:rPr>
        <w:t>2</w:t>
      </w:r>
      <w:r w:rsidRPr="003532DF">
        <w:t>-mediated geochemical system are the consequences of complicated interconnected reactions in the simulated model. Kinetically slow dissolution reactions of aluminosilicate minerals (e.g. chlorite) are regarded as the rate-limiting step for precipitation of more stable carbonate phases and CO</w:t>
      </w:r>
      <w:r w:rsidRPr="003532DF">
        <w:rPr>
          <w:vertAlign w:val="subscript"/>
        </w:rPr>
        <w:t>2</w:t>
      </w:r>
      <w:r w:rsidRPr="003532DF">
        <w:t xml:space="preserve"> sequestration. Therefore, the occurrences, abundances and distribution patterns of the aluminosilicate minerals coupled with their kinetic reaction rates are likely to affect the long-term fate of the safe CO</w:t>
      </w:r>
      <w:r w:rsidRPr="003532DF">
        <w:rPr>
          <w:vertAlign w:val="subscript"/>
        </w:rPr>
        <w:t>2</w:t>
      </w:r>
      <w:r w:rsidRPr="003532DF">
        <w:t xml:space="preserve"> storage in the deeply buried siliciclastic reservoirs.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Ma, L., Jiang, X., Liu, G., Yao, L., Liu, W., Pan, Y., Zuo, Y., </w:t>
      </w:r>
      <w:r w:rsidR="00616347">
        <w:t xml:space="preserve">2020. </w:t>
      </w:r>
      <w:r w:rsidRPr="003532DF">
        <w:t>Environmental factors and microbial diversity and abundance jointly regulate soil nitrogen and carbon biogeochemical processes in Tibetan wetlands. Environmental Science &amp; Technology 54, 3267-3277.</w:t>
      </w:r>
    </w:p>
    <w:p w:rsidR="00DB42FE" w:rsidRPr="003532DF" w:rsidRDefault="00DB42FE" w:rsidP="00616347">
      <w:pPr>
        <w:pStyle w:val="EndNoteBibliography"/>
        <w:ind w:left="360"/>
      </w:pPr>
      <w:r w:rsidRPr="003532DF">
        <w:t>https://doi.org/10.1021/acs.est.9b06716</w:t>
      </w:r>
    </w:p>
    <w:p w:rsidR="00DB42FE" w:rsidRPr="003532DF" w:rsidRDefault="00DB42FE" w:rsidP="00616347">
      <w:pPr>
        <w:pStyle w:val="EndNoteBibliography"/>
        <w:spacing w:after="0"/>
        <w:ind w:left="360"/>
      </w:pPr>
      <w:r w:rsidRPr="003532DF">
        <w:t xml:space="preserve">Wetlands have numerous critical ecological functions, some of which are regulated by several nitrogen (N) and carbon (C) biogeochemical processes, such as denitrification, organic matter decomposition, and methane emission. Until now, the underlying pathways of the effects of environmental and biological factors on wetland N and C cycling rates are still not fully understood. Here, we investigated soil potential/net nitrification, potential/unamended denitrification, methane production/oxidation rates in 36 riverine, lacustrine, and palustrine wetland sites on the Tibet </w:t>
      </w:r>
      <w:r w:rsidRPr="003532DF">
        <w:lastRenderedPageBreak/>
        <w:t>Plateau. The results showed that all the measured N and C cycling rates did not differ significantly among the wetland types. Stepwise multiple regression analyses revealed that soil physicochemical properties (e.g., moisture, C and N concentration) explained a large amount of the variance in most of the N and C cycling rates. Microbial abundance and diversity were also important in controlling potential and unamended denitrification rates, respectively. Path analysis further revealed that soil moisture and N and C availability could impact wetland C and N processes both directly and indirectly. For instance, the indirect effect of soil moisture on methane production rates was mainly through the regulating the soil C content and methanogenic community structure. Our findings highlight that many N and C cycling processes in high-altitude and remote Tibetan wetlands are jointly regulated by soil environments and functional microorganisms. Soil properties affecting the N and C cycling rates in wetlands through altering their microbial diversity and abundance represent an important but previously underestimated indirect pathway.</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Ma, X., Sun, M., Lennartz, S.T., Bange, H.W., </w:t>
      </w:r>
      <w:r w:rsidR="00616347">
        <w:t xml:space="preserve">2020. </w:t>
      </w:r>
      <w:r w:rsidRPr="003532DF">
        <w:t>A decade of methane measurements at the Boknis Eck Time-series Station in the Eckernförde Bay (Southwestern Baltic Sea). Biogeosciences Discussions 2020, 1-22.</w:t>
      </w:r>
    </w:p>
    <w:p w:rsidR="00DB42FE" w:rsidRPr="003532DF" w:rsidRDefault="00DB42FE" w:rsidP="00616347">
      <w:pPr>
        <w:pStyle w:val="EndNoteBibliography"/>
        <w:ind w:left="360"/>
      </w:pPr>
      <w:r w:rsidRPr="003532DF">
        <w:t>https://www.biogeosciences-discuss.net/bg-2020-107/</w:t>
      </w:r>
    </w:p>
    <w:p w:rsidR="00DB42FE" w:rsidRPr="003532DF" w:rsidRDefault="00DB42FE" w:rsidP="00616347">
      <w:pPr>
        <w:pStyle w:val="EndNoteBibliography"/>
        <w:spacing w:after="0"/>
        <w:ind w:left="360"/>
      </w:pPr>
      <w:r w:rsidRPr="003532DF">
        <w:t>Coastal areas contribute significantly to the emissions of methane (CH</w:t>
      </w:r>
      <w:r w:rsidRPr="003532DF">
        <w:rPr>
          <w:vertAlign w:val="subscript"/>
        </w:rPr>
        <w:t>4</w:t>
      </w:r>
      <w:r w:rsidRPr="003532DF">
        <w:t>) from the ocean. In order to decipher its temporal variability in the whole water column, dissolved CH</w:t>
      </w:r>
      <w:r w:rsidRPr="003532DF">
        <w:rPr>
          <w:vertAlign w:val="subscript"/>
        </w:rPr>
        <w:t>4</w:t>
      </w:r>
      <w:r w:rsidRPr="003532DF">
        <w:t xml:space="preserve"> was measured on a monthly basis at the Boknis Eck Time-series Station (BE) located in the Eckernförde Bay (SW Baltic Sea) from 2006 to 2017. BE has a water depth of about 28 m and dissolved CH</w:t>
      </w:r>
      <w:r w:rsidRPr="003532DF">
        <w:rPr>
          <w:vertAlign w:val="subscript"/>
        </w:rPr>
        <w:t>4</w:t>
      </w:r>
      <w:r w:rsidRPr="003532DF">
        <w:t xml:space="preserve"> was measured at six water depths ranging from 0 to 25 m. In general CH</w:t>
      </w:r>
      <w:r w:rsidRPr="003532DF">
        <w:rPr>
          <w:vertAlign w:val="subscript"/>
        </w:rPr>
        <w:t>4</w:t>
      </w:r>
      <w:r w:rsidRPr="003532DF">
        <w:t xml:space="preserve"> concentrations increased with depth, indicating a sedimentary release of CH</w:t>
      </w:r>
      <w:r w:rsidRPr="003532DF">
        <w:rPr>
          <w:vertAlign w:val="subscript"/>
        </w:rPr>
        <w:t>4</w:t>
      </w:r>
      <w:r w:rsidRPr="003532DF">
        <w:t>. Pronounced enhancement of the CH</w:t>
      </w:r>
      <w:r w:rsidRPr="003532DF">
        <w:rPr>
          <w:vertAlign w:val="subscript"/>
        </w:rPr>
        <w:t>4</w:t>
      </w:r>
      <w:r w:rsidRPr="003532DF">
        <w:t xml:space="preserve"> concentrations in the bottom layer (15–25 m) was found during February, May–June and October. CH</w:t>
      </w:r>
      <w:r w:rsidRPr="003532DF">
        <w:rPr>
          <w:vertAlign w:val="subscript"/>
        </w:rPr>
        <w:t>4</w:t>
      </w:r>
      <w:r w:rsidRPr="003532DF">
        <w:t xml:space="preserve"> was not correlated with Chlorophyll </w:t>
      </w:r>
      <w:r w:rsidRPr="003532DF">
        <w:rPr>
          <w:i/>
        </w:rPr>
        <w:t>a</w:t>
      </w:r>
      <w:r w:rsidRPr="003532DF">
        <w:t xml:space="preserve"> or O</w:t>
      </w:r>
      <w:r w:rsidRPr="003532DF">
        <w:rPr>
          <w:vertAlign w:val="subscript"/>
        </w:rPr>
        <w:t>2</w:t>
      </w:r>
      <w:r w:rsidRPr="003532DF">
        <w:t xml:space="preserve"> over the measurement period. Unusually high CH</w:t>
      </w:r>
      <w:r w:rsidRPr="003532DF">
        <w:rPr>
          <w:vertAlign w:val="subscript"/>
        </w:rPr>
        <w:t>4</w:t>
      </w:r>
      <w:r w:rsidRPr="003532DF">
        <w:t xml:space="preserve"> concentrations (of up to 696 nM) were sporadically observed in the upper layer (0–10 m) (e.g. in November 2013 and December 2014) and were coinciding with Major Baltic Inflow (MBI) events. Surface CH</w:t>
      </w:r>
      <w:r w:rsidRPr="003532DF">
        <w:rPr>
          <w:vertAlign w:val="subscript"/>
        </w:rPr>
        <w:t>4</w:t>
      </w:r>
      <w:r w:rsidRPr="003532DF">
        <w:t xml:space="preserve"> concentrations were always supersaturated throughout the monitoring period, indicating that the Eckernförde Bay is an intense but highly variable source of atmospheric CH</w:t>
      </w:r>
      <w:r w:rsidRPr="003532DF">
        <w:rPr>
          <w:vertAlign w:val="subscript"/>
        </w:rPr>
        <w:t>4</w:t>
      </w:r>
      <w:r w:rsidRPr="003532DF">
        <w:t>. We did not detect significant temporal trends in CH</w:t>
      </w:r>
      <w:r w:rsidRPr="003532DF">
        <w:rPr>
          <w:vertAlign w:val="subscript"/>
        </w:rPr>
        <w:t>4</w:t>
      </w:r>
      <w:r w:rsidRPr="003532DF">
        <w:t xml:space="preserve"> concentrations or emissions, despite of ongoing environmental changes such as warming and deoxygenation in the Eckernförde Bay. Overall, the CH</w:t>
      </w:r>
      <w:r w:rsidRPr="003532DF">
        <w:rPr>
          <w:vertAlign w:val="subscript"/>
        </w:rPr>
        <w:t>4</w:t>
      </w:r>
      <w:r w:rsidRPr="003532DF">
        <w:t xml:space="preserve"> variability at BE is driven by a complex interplay of various biological and physical processes.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Ma, Y., Wang, Z., Ma, T., Chen, S., </w:t>
      </w:r>
      <w:r w:rsidR="00616347">
        <w:t xml:space="preserve">2020. </w:t>
      </w:r>
      <w:r w:rsidRPr="003532DF">
        <w:t>Spatial distribution characteristics and influencing factors of organic carbon in sediments of Tongshun River riparian zone. Chemosphere 252, 126322.</w:t>
      </w:r>
    </w:p>
    <w:p w:rsidR="00DB42FE" w:rsidRPr="003532DF" w:rsidRDefault="00DB42FE" w:rsidP="00616347">
      <w:pPr>
        <w:pStyle w:val="EndNoteBibliography"/>
        <w:ind w:left="360"/>
      </w:pPr>
      <w:r w:rsidRPr="003532DF">
        <w:t>http://www.sciencedirect.com/science/article/pii/S0045653520305154</w:t>
      </w:r>
    </w:p>
    <w:p w:rsidR="00DB42FE" w:rsidRPr="003532DF" w:rsidRDefault="00DB42FE" w:rsidP="00616347">
      <w:pPr>
        <w:pStyle w:val="EndNoteBibliography"/>
        <w:spacing w:after="0"/>
        <w:ind w:left="360"/>
      </w:pPr>
      <w:r w:rsidRPr="003532DF">
        <w:t xml:space="preserve">The riparian zone is closely related to the surrounding environment, and it is important to find out the distribution characteristics of organic carbon in the sediment of the riparian zone. In this paper, the distribution of organic carbon in sediments and its influencing factors were analyzed in the riparian zone of small watershed. The results show that the distribution of organic carbon was significantly related to the lithology of sediment, and the sedimentary environment determined the content of organic carbon in sediment. In shallow sediments, organic carbon changed significantly with depth, and redox conditions were the main influencing factors. When the environment </w:t>
      </w:r>
      <w:r w:rsidRPr="003532DF">
        <w:lastRenderedPageBreak/>
        <w:t>changed from oxidation condition to reduction condition, both the mineralization of organic carbon and the change of iron oxide morphology would change the stabilizing effect of organic carbon, thus affecting the distribution of organic carbon. In addition, under the influence of flood, the organic carbon in the riparian sediments changed with the distance to the river in the horizontal direction.</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Macaulay, B.M., Boothman, C., van Dongen, B.E., Lloyd, J.R., </w:t>
      </w:r>
      <w:r w:rsidR="00616347">
        <w:t xml:space="preserve">2020. </w:t>
      </w:r>
      <w:r w:rsidRPr="003532DF">
        <w:t>A novel “microbial bait” technique for capturing Fe(III)-reducing bacteria. Frontiers in Microbiology 11, 330. doi: 10.3389/fmicb.2020.00330.</w:t>
      </w:r>
    </w:p>
    <w:p w:rsidR="00DB42FE" w:rsidRPr="003532DF" w:rsidRDefault="00DB42FE" w:rsidP="00616347">
      <w:pPr>
        <w:pStyle w:val="EndNoteBibliography"/>
        <w:ind w:left="360"/>
      </w:pPr>
      <w:r w:rsidRPr="003532DF">
        <w:t>https://www.frontiersin.org/article/10.3389/fmicb.2020.00330</w:t>
      </w:r>
    </w:p>
    <w:p w:rsidR="00DB42FE" w:rsidRPr="003532DF" w:rsidRDefault="00DB42FE" w:rsidP="00616347">
      <w:pPr>
        <w:pStyle w:val="EndNoteBibliography"/>
        <w:spacing w:after="0"/>
        <w:ind w:left="360"/>
      </w:pPr>
      <w:r w:rsidRPr="003532DF">
        <w:t>Microbial reduction of Fe(III) is a key geochemical process in anoxic environments, controlling the degradation of organics and the mobility of metals and radionuclides. To further understand these processes, it is vital to develop a reliable means of capturing Fe(III)-reducing microorganisms from the field for analysis and lab-based investigations. In this study, a novel method of capturing Fe(III)-reducing bacteria using Fe(III)-coated pumice “</w:t>
      </w:r>
      <w:r w:rsidRPr="003532DF">
        <w:rPr>
          <w:i/>
        </w:rPr>
        <w:t>microbe-baits</w:t>
      </w:r>
      <w:r w:rsidRPr="003532DF">
        <w:t xml:space="preserve">” was demonstrated. The methodology involved the coating of pumice (approximately diameter 4 to 6 mm) with a bioavailable Fe(III) mineral (akaganeite), and was verified by deployment into a freshwater spring for 2 months. On retrieval, the coated pumice baits were incubated in a series of lab-based microcosms, amended with and without electron donors (lactate and acetate), and incubated at 20°C for 8 weeks. 16S rRNA gene sequencing using the Illumina MiSeq platform showed that the Fe(III)-coated pumice baits, when incubated in the presence of lactate and acetate, enriched for Deltaproteobacteria (relative abundance of 52% of the sequences detected corresponded to </w:t>
      </w:r>
      <w:r w:rsidRPr="003532DF">
        <w:rPr>
          <w:i/>
        </w:rPr>
        <w:t>Geobacter</w:t>
      </w:r>
      <w:r w:rsidRPr="003532DF">
        <w:t xml:space="preserve"> species and 24% to </w:t>
      </w:r>
      <w:r w:rsidRPr="003532DF">
        <w:rPr>
          <w:i/>
        </w:rPr>
        <w:t>Desulfovibrio</w:t>
      </w:r>
      <w:r w:rsidRPr="003532DF">
        <w:t xml:space="preserve"> species). In the absence of added electron donors, Betaproteobacteria were the most abundant class detected, most heavily represented by a close relative to </w:t>
      </w:r>
      <w:r w:rsidRPr="003532DF">
        <w:rPr>
          <w:i/>
        </w:rPr>
        <w:t>Rhodoferax ferrireducens</w:t>
      </w:r>
      <w:r w:rsidRPr="003532DF">
        <w:t xml:space="preserve"> (15% of species detected), that most likely used organic matter sequestered from the spring waters to support Fe(III) reduction. In addition, TEM-EDS analysis of the Fe(III)-coated pumice slurries amended with electron donors revealed that a biogenic Fe(II) mineral, magnetite, was formed at the end of the incubation period. These results demonstrate that Fe(III)-coated pumice “</w:t>
      </w:r>
      <w:r w:rsidRPr="003532DF">
        <w:rPr>
          <w:i/>
        </w:rPr>
        <w:t>microbe baits</w:t>
      </w:r>
      <w:r w:rsidRPr="003532DF">
        <w:t>” can potentially help target metal-reducing bacteria for culture-dependent studies, to further our understanding of the nano-scale microbe-mineral interactions in aquifers.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Maeng, S., Kim, M.K., Subramani, G., </w:t>
      </w:r>
      <w:r w:rsidR="00616347">
        <w:t xml:space="preserve">2020. </w:t>
      </w:r>
      <w:r w:rsidRPr="003532DF">
        <w:rPr>
          <w:i/>
        </w:rPr>
        <w:t xml:space="preserve">Hymenobacter jejuensis </w:t>
      </w:r>
      <w:r w:rsidRPr="003532DF">
        <w:t>sp. nov., a UV radiation-tolerant bacterium isolated from Jeju Island. Antonie van Leeuwenhoek 113, 553-561.</w:t>
      </w:r>
    </w:p>
    <w:p w:rsidR="00DB42FE" w:rsidRPr="003532DF" w:rsidRDefault="00DB42FE" w:rsidP="00616347">
      <w:pPr>
        <w:pStyle w:val="EndNoteBibliography"/>
        <w:ind w:left="360"/>
      </w:pPr>
      <w:r w:rsidRPr="003532DF">
        <w:t>https://doi.org/10.1007/s10482-019-01363-8</w:t>
      </w:r>
    </w:p>
    <w:p w:rsidR="00DB42FE" w:rsidRPr="003532DF" w:rsidRDefault="00DB42FE" w:rsidP="00616347">
      <w:pPr>
        <w:pStyle w:val="EndNoteBibliography"/>
        <w:spacing w:after="0"/>
        <w:ind w:left="360"/>
      </w:pPr>
      <w:r w:rsidRPr="003532DF">
        <w:t>A novel Gram-stain negative, aerobic, rod-shaped, non-motile and pink-coloured bacterium, designated strain 17J68-5</w:t>
      </w:r>
      <w:r w:rsidRPr="003532DF">
        <w:rPr>
          <w:vertAlign w:val="superscript"/>
        </w:rPr>
        <w:t>T</w:t>
      </w:r>
      <w:r w:rsidRPr="003532DF">
        <w:t>, was isolated from soil in Jeju Island, Korea. The strain was found to grow at 18–37 °C (optimum 25 °C) in R2A medium at pH (6.0 to 7.5; optimum 6.5) in the presence of 0% (w/v) NaCl. Phylogenetic analysis based on 16S rRNA gene sequences indicated that strain 17J68-5</w:t>
      </w:r>
      <w:r w:rsidRPr="003532DF">
        <w:rPr>
          <w:vertAlign w:val="superscript"/>
        </w:rPr>
        <w:t>T</w:t>
      </w:r>
      <w:r w:rsidRPr="003532DF">
        <w:t xml:space="preserve"> forms a distinct lineage within the family </w:t>
      </w:r>
      <w:r w:rsidRPr="003532DF">
        <w:rPr>
          <w:i/>
        </w:rPr>
        <w:t>Hymenobacteraceae</w:t>
      </w:r>
      <w:r w:rsidRPr="003532DF">
        <w:t xml:space="preserve"> and is closely related to </w:t>
      </w:r>
      <w:r w:rsidRPr="003532DF">
        <w:rPr>
          <w:i/>
        </w:rPr>
        <w:t>Hymenobacter daecheongensis</w:t>
      </w:r>
      <w:r w:rsidRPr="003532DF">
        <w:t xml:space="preserve"> DSM 21074</w:t>
      </w:r>
      <w:r w:rsidRPr="003532DF">
        <w:rPr>
          <w:vertAlign w:val="superscript"/>
        </w:rPr>
        <w:t>T</w:t>
      </w:r>
      <w:r w:rsidRPr="003532DF">
        <w:t xml:space="preserve"> (94.9% 16S rRNA gene sequence similarity), </w:t>
      </w:r>
      <w:r w:rsidRPr="003532DF">
        <w:rPr>
          <w:i/>
        </w:rPr>
        <w:t>Hymenobacter rutilus</w:t>
      </w:r>
      <w:r w:rsidRPr="003532DF">
        <w:t xml:space="preserve"> K2-33028</w:t>
      </w:r>
      <w:r w:rsidRPr="003532DF">
        <w:rPr>
          <w:vertAlign w:val="superscript"/>
        </w:rPr>
        <w:t>T</w:t>
      </w:r>
      <w:r w:rsidRPr="003532DF">
        <w:t xml:space="preserve"> (94.6%) and </w:t>
      </w:r>
      <w:r w:rsidRPr="003532DF">
        <w:rPr>
          <w:i/>
        </w:rPr>
        <w:t>Hymenobacter tibetensis</w:t>
      </w:r>
      <w:r w:rsidRPr="003532DF">
        <w:t xml:space="preserve"> XTM003</w:t>
      </w:r>
      <w:r w:rsidRPr="003532DF">
        <w:rPr>
          <w:vertAlign w:val="superscript"/>
        </w:rPr>
        <w:t>T</w:t>
      </w:r>
      <w:r w:rsidRPr="003532DF">
        <w:t xml:space="preserve"> (94.3%). The draft genome sequence of strain 17J68-5</w:t>
      </w:r>
      <w:r w:rsidRPr="003532DF">
        <w:rPr>
          <w:vertAlign w:val="superscript"/>
        </w:rPr>
        <w:t>T</w:t>
      </w:r>
      <w:r w:rsidRPr="003532DF">
        <w:t>is 5.1 Mb size. The calculated average nucleotide identity and the digital DNA–DNA hybridization between strain 17J68-5</w:t>
      </w:r>
      <w:r w:rsidRPr="003532DF">
        <w:rPr>
          <w:vertAlign w:val="superscript"/>
        </w:rPr>
        <w:t>T</w:t>
      </w:r>
      <w:r w:rsidRPr="003532DF">
        <w:t xml:space="preserve"> and closely related type strains were 81.3 to 84.1  % and 25.5 to 28.1%. The major cellular fatty acids (≥ 10%) of the strain 17J68-5</w:t>
      </w:r>
      <w:r w:rsidRPr="003532DF">
        <w:rPr>
          <w:vertAlign w:val="superscript"/>
        </w:rPr>
        <w:t>T</w:t>
      </w:r>
      <w:r w:rsidRPr="003532DF">
        <w:t xml:space="preserve"> were </w:t>
      </w:r>
      <w:r w:rsidRPr="003532DF">
        <w:lastRenderedPageBreak/>
        <w:t>identified as summed feature 3 (C</w:t>
      </w:r>
      <w:r w:rsidRPr="003532DF">
        <w:rPr>
          <w:vertAlign w:val="subscript"/>
        </w:rPr>
        <w:t>16:1</w:t>
      </w:r>
      <w:r w:rsidRPr="003532DF">
        <w:rPr>
          <w:i/>
        </w:rPr>
        <w:t>ω</w:t>
      </w:r>
      <w:r w:rsidRPr="003532DF">
        <w:t>6</w:t>
      </w:r>
      <w:r w:rsidRPr="003532DF">
        <w:rPr>
          <w:i/>
        </w:rPr>
        <w:t>c</w:t>
      </w:r>
      <w:r w:rsidRPr="003532DF">
        <w:t>/C</w:t>
      </w:r>
      <w:r w:rsidRPr="003532DF">
        <w:rPr>
          <w:vertAlign w:val="subscript"/>
        </w:rPr>
        <w:t>16:1</w:t>
      </w:r>
      <w:r w:rsidRPr="003532DF">
        <w:rPr>
          <w:i/>
        </w:rPr>
        <w:t>ω</w:t>
      </w:r>
      <w:r w:rsidRPr="003532DF">
        <w:t>7</w:t>
      </w:r>
      <w:r w:rsidRPr="003532DF">
        <w:rPr>
          <w:i/>
        </w:rPr>
        <w:t>c</w:t>
      </w:r>
      <w:r w:rsidRPr="003532DF">
        <w:t>; 21.2%), iso-C</w:t>
      </w:r>
      <w:r w:rsidRPr="003532DF">
        <w:rPr>
          <w:vertAlign w:val="subscript"/>
        </w:rPr>
        <w:t>15:0</w:t>
      </w:r>
      <w:r w:rsidRPr="003532DF">
        <w:t xml:space="preserve"> (19.1%), summed feature 4 (C</w:t>
      </w:r>
      <w:r w:rsidRPr="003532DF">
        <w:rPr>
          <w:vertAlign w:val="subscript"/>
        </w:rPr>
        <w:t>17:1</w:t>
      </w:r>
      <w:r w:rsidRPr="003532DF">
        <w:t xml:space="preserve"> iso I/C</w:t>
      </w:r>
      <w:r w:rsidRPr="003532DF">
        <w:rPr>
          <w:vertAlign w:val="subscript"/>
        </w:rPr>
        <w:t>17:1</w:t>
      </w:r>
      <w:r w:rsidRPr="003532DF">
        <w:t xml:space="preserve"> anteiso B; 17.9%) and C</w:t>
      </w:r>
      <w:r w:rsidRPr="003532DF">
        <w:rPr>
          <w:vertAlign w:val="subscript"/>
        </w:rPr>
        <w:t>16:1</w:t>
      </w:r>
      <w:r w:rsidRPr="003532DF">
        <w:rPr>
          <w:i/>
        </w:rPr>
        <w:t>ω</w:t>
      </w:r>
      <w:r w:rsidRPr="003532DF">
        <w:t>5</w:t>
      </w:r>
      <w:r w:rsidRPr="003532DF">
        <w:rPr>
          <w:i/>
        </w:rPr>
        <w:t>c</w:t>
      </w:r>
      <w:r w:rsidRPr="003532DF">
        <w:t xml:space="preserve"> (13.1%). The predominant respiratory quinones were found to be menaquinone 7 and 6 (MK-7 and MK-6). The major polar lipid was found to be phosphatidylethanolamine. The genomic DNA G + C content based on the whole genome sequence is 59.6 mol %. The phenotypic, chemotaxonomic and genotypic properties clearly indicated that isolate 17J68-5</w:t>
      </w:r>
      <w:r w:rsidRPr="003532DF">
        <w:rPr>
          <w:vertAlign w:val="superscript"/>
        </w:rPr>
        <w:t>T</w:t>
      </w:r>
      <w:r w:rsidRPr="003532DF">
        <w:t xml:space="preserve"> represents a novel species within the genus </w:t>
      </w:r>
      <w:r w:rsidRPr="003532DF">
        <w:rPr>
          <w:i/>
        </w:rPr>
        <w:t>Hymenobacter</w:t>
      </w:r>
      <w:r w:rsidRPr="003532DF">
        <w:t xml:space="preserve">, for which the name </w:t>
      </w:r>
      <w:r w:rsidRPr="003532DF">
        <w:rPr>
          <w:i/>
        </w:rPr>
        <w:t>Hymenobacter jejuensis</w:t>
      </w:r>
      <w:r w:rsidRPr="003532DF">
        <w:t xml:space="preserve"> sp. nov. is proposed. The type strain of </w:t>
      </w:r>
      <w:r w:rsidRPr="003532DF">
        <w:rPr>
          <w:i/>
        </w:rPr>
        <w:t>Hymenobacter jejuensis</w:t>
      </w:r>
      <w:r w:rsidRPr="003532DF">
        <w:t xml:space="preserve"> is 17J68-5</w:t>
      </w:r>
      <w:r w:rsidRPr="003532DF">
        <w:rPr>
          <w:vertAlign w:val="superscript"/>
        </w:rPr>
        <w:t>T</w:t>
      </w:r>
      <w:r w:rsidRPr="003532DF">
        <w:t xml:space="preserve"> (= KCTC 62224</w:t>
      </w:r>
      <w:r w:rsidRPr="003532DF">
        <w:rPr>
          <w:vertAlign w:val="superscript"/>
        </w:rPr>
        <w:t>T</w:t>
      </w:r>
      <w:r w:rsidRPr="003532DF">
        <w:t> = JCM 33182</w:t>
      </w:r>
      <w:r w:rsidRPr="003532DF">
        <w:rPr>
          <w:vertAlign w:val="superscript"/>
        </w:rPr>
        <w:t>T</w:t>
      </w:r>
      <w:r w:rsidRPr="003532DF">
        <w:t>).</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Maggiori, C., Stromberg, J., Blanco, Y., Goordial, J., Cloutis, E., García-Villadangos, M., Parro, V., Whyte, L., </w:t>
      </w:r>
      <w:r w:rsidR="00616347">
        <w:t xml:space="preserve">2020. </w:t>
      </w:r>
      <w:r w:rsidRPr="003532DF">
        <w:t>The limits, capabilities, and potential for life detection with MinION sequencing in a paleochannel Mars analog. Astrobiology 20, 375-393.</w:t>
      </w:r>
    </w:p>
    <w:p w:rsidR="00DB42FE" w:rsidRPr="003532DF" w:rsidRDefault="00DB42FE" w:rsidP="00616347">
      <w:pPr>
        <w:pStyle w:val="EndNoteBibliography"/>
        <w:ind w:left="360"/>
      </w:pPr>
      <w:r w:rsidRPr="003532DF">
        <w:t>https://doi.org/10.1089/ast.2018.1964</w:t>
      </w:r>
    </w:p>
    <w:p w:rsidR="00DB42FE" w:rsidRPr="003532DF" w:rsidRDefault="00DB42FE" w:rsidP="00616347">
      <w:pPr>
        <w:pStyle w:val="EndNoteBibliography"/>
        <w:spacing w:after="0"/>
        <w:ind w:left="360"/>
      </w:pPr>
      <w:r w:rsidRPr="003532DF">
        <w:t>No instrument capable of direct life detection has been included on a mission payload to Mars since NASA's Viking missions in the 1970s. This prevents us from discovering whether life is or ever was present on Mars. DNA is an ideal target biosignature since it is unambiguous, nonspecific, and readily detectable with nanopore sequencing. Here, we present a proof-of-concept utilization of the Oxford Nanopore Technologies (ONT) MinION sequencer for direct life detection and show how it can complement results from established space mission instruments. We used nanopore sequencing data from the MinION to detect and characterize the microbial life in a set of paleochannels near Hanksville, UT, with supporting data from X-ray diffraction, reflectance spectroscopy, Raman spectroscopy, and Life Detector Chip (LDChip) microarray immunoassay analyses. These paleochannels are analogs to martian sinuous ridges. The MinION-generated metagenomes reveal a rich microbial community dominated by bacteria and containing radioresistant, psychrophilic, and halophilic taxa. With spectral data and LDChip immunoassays, these metagenomes were linked to the surrounding Mars analog environment and potential metabolisms (</w:t>
      </w:r>
      <w:r w:rsidRPr="003532DF">
        <w:rPr>
          <w:i/>
        </w:rPr>
        <w:t>e.g.</w:t>
      </w:r>
      <w:r w:rsidRPr="003532DF">
        <w:t xml:space="preserve">, methane production and perchlorate reduction). This shows a high degree of synergy between these techniques for detecting and characterizing biosignatures. We also resolved a prospective lower limit of </w:t>
      </w:r>
      <w:r w:rsidRPr="003532DF">
        <w:rPr>
          <w:rFonts w:ascii="Cambria Math" w:hAnsi="Cambria Math" w:cs="Cambria Math"/>
        </w:rPr>
        <w:t>∼</w:t>
      </w:r>
      <w:r w:rsidRPr="003532DF">
        <w:t>0.001</w:t>
      </w:r>
      <w:r w:rsidRPr="003532DF">
        <w:rPr>
          <w:rFonts w:cs="Calibri"/>
        </w:rPr>
        <w:t> </w:t>
      </w:r>
      <w:r w:rsidRPr="003532DF">
        <w:t xml:space="preserve">ng of DNA required for successful sequencing. This work represents the first determination of the MinION's DNA detection limits beyond ONT recommendations and the first whole metagenome analysis of a sinuous ridge analog. </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Magnall, J.M., Gleeson, S.A., Hayward, N., Rocholl, A., </w:t>
      </w:r>
      <w:r w:rsidR="00616347">
        <w:t xml:space="preserve">2020. </w:t>
      </w:r>
      <w:r w:rsidRPr="003532DF">
        <w:t>Massive sulfide Zn deposits in the Proterozoic did not require euxinia. Geochemical Perspectives Letters 13, 19-24.</w:t>
      </w:r>
    </w:p>
    <w:p w:rsidR="00DB42FE" w:rsidRPr="003532DF" w:rsidRDefault="00DB42FE" w:rsidP="00616347">
      <w:pPr>
        <w:pStyle w:val="EndNoteBibliography"/>
        <w:ind w:left="360"/>
      </w:pPr>
      <w:r w:rsidRPr="003532DF">
        <w:t>http://www.geochemicalperspectivesletters.org/article2008</w:t>
      </w:r>
    </w:p>
    <w:p w:rsidR="00DB42FE" w:rsidRPr="003532DF" w:rsidRDefault="00DB42FE" w:rsidP="00616347">
      <w:pPr>
        <w:pStyle w:val="EndNoteBibliography"/>
        <w:spacing w:after="0"/>
        <w:ind w:left="360"/>
      </w:pPr>
      <w:r w:rsidRPr="003532DF">
        <w:t xml:space="preserve">Our most important Zn resources occur within clastic-dominated (CD-type) deposits, which are located in a small number of Proterozoic and Phanerozoic sedimentary basins. The most common model for CD-type mineralisation involves sedimentary exhalative (SEDEX) processes, </w:t>
      </w:r>
      <w:r w:rsidRPr="003532DF">
        <w:rPr>
          <w:i/>
        </w:rPr>
        <w:t xml:space="preserve">i.e. </w:t>
      </w:r>
      <w:r w:rsidRPr="003532DF">
        <w:t>the venting of metal bearing fluids into a restricted, anoxic H</w:t>
      </w:r>
      <w:r w:rsidRPr="003532DF">
        <w:rPr>
          <w:vertAlign w:val="subscript"/>
        </w:rPr>
        <w:t>2</w:t>
      </w:r>
      <w:r w:rsidRPr="003532DF">
        <w:t>S-bearing (euxinic) water column. In the Carpentaria Zn Province (Australia), multiple world class deposits are hosted in Proterozoic (1.6 Ga) stratigraphy, where models of the ancient sulfur cycle have also been developed. Focusing on the most recent discovery – the Teena deposit – we report bulk rock and isotopic data (δ</w:t>
      </w:r>
      <w:r w:rsidRPr="003532DF">
        <w:rPr>
          <w:vertAlign w:val="superscript"/>
        </w:rPr>
        <w:t>34</w:t>
      </w:r>
      <w:r w:rsidRPr="003532DF">
        <w:t>S</w:t>
      </w:r>
      <w:r w:rsidRPr="003532DF">
        <w:rPr>
          <w:vertAlign w:val="subscript"/>
        </w:rPr>
        <w:t>pyrite</w:t>
      </w:r>
      <w:r w:rsidRPr="003532DF">
        <w:t xml:space="preserve"> values) that provide information on the sulfur cycle during the diagenetic and hydrothermal evolution of the </w:t>
      </w:r>
      <w:r w:rsidRPr="003532DF">
        <w:lastRenderedPageBreak/>
        <w:t>Teena sub-basin. In contrast to the SEDEX model, intervals containing abundant pyrite with highly positive δ</w:t>
      </w:r>
      <w:r w:rsidRPr="003532DF">
        <w:rPr>
          <w:vertAlign w:val="superscript"/>
        </w:rPr>
        <w:t>34</w:t>
      </w:r>
      <w:r w:rsidRPr="003532DF">
        <w:t>S values (&gt;25 ‰) correspond with euxinic conditions that developed due to high organic loading (</w:t>
      </w:r>
      <w:r w:rsidRPr="003532DF">
        <w:rPr>
          <w:i/>
        </w:rPr>
        <w:t xml:space="preserve">i.e. </w:t>
      </w:r>
      <w:r w:rsidRPr="003532DF">
        <w:t xml:space="preserve">productivity) and not basin restriction. This basin wide feature, which can also be mistaken as a hydrothermal pyrite halo, is genetically unrelated to the subsequent hydrothermal mineralisation that formed beneath the palaeo-seafloor. The formation of CD-type deposits in the Proterozoic does not, therefore, require euxinic conditions. </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Mahanta, B., Vishal, V., Ranjith, P.G., Singh, T.N., </w:t>
      </w:r>
      <w:r w:rsidR="00616347">
        <w:t xml:space="preserve">2020. </w:t>
      </w:r>
      <w:r w:rsidRPr="003532DF">
        <w:t>An insight into pore-network models of high-temperature heat-treated sandstones using computed tomography. Journal of Natural Gas Science and Engineering 77, 103227.</w:t>
      </w:r>
    </w:p>
    <w:p w:rsidR="00DB42FE" w:rsidRPr="003532DF" w:rsidRDefault="00DB42FE" w:rsidP="00616347">
      <w:pPr>
        <w:pStyle w:val="EndNoteBibliography"/>
        <w:ind w:left="360"/>
      </w:pPr>
      <w:r w:rsidRPr="003532DF">
        <w:t>http://www.sciencedirect.com/science/article/pii/S1875510020300810</w:t>
      </w:r>
    </w:p>
    <w:p w:rsidR="00DB42FE" w:rsidRPr="003532DF" w:rsidRDefault="00DB42FE" w:rsidP="00616347">
      <w:pPr>
        <w:pStyle w:val="EndNoteBibliography"/>
        <w:spacing w:after="0"/>
        <w:ind w:left="360"/>
      </w:pPr>
      <w:r w:rsidRPr="003532DF">
        <w:t>The pore network attributes help assess the fluid-flow behaviour in various reservoir rocks. As, in the cases of various unconventional energy exploration, the reservoir rocks are being exposed to different sets of temperatures that result in microstructural alteration in the pore and throat scale. Since the last decade, X-ray computed tomography (XCT) has been proved to be a useful tool in determining the micro-scale pore structures. However, such results are greatly influenced by the structure of the rocks, pore spaces, grain size, and nature of minerals. Here in this study, an attempt has been made to investigate the microstructural alteration and pore-network configuration of thermally-treated three Indian sandstones (Dholpur sandstone, Jodhpur sandstone and Gondwana sandstone) of varying mineralogy using the high-resolution micro-CT techniques. Microstructural modifications, the evolution of pores spaces, pore-size distribution, pore-network attributes such as nature of connectivity, pore radius, pore-volume, pore coordination number, throat radius and throat channel lengths of the three sandstones were investigated in a temperature range from 25 °C to 800 °C. The microstructural responses of these sandstones in terms of pore-space evolution and pore network models were found to be dependent on the presence of clay minerals. The overall trend of porosity for Dholpur and Gondwana sandstone was found to increase as a function of temperature. For Jodhpur sandstone, the maximum porosity was achieved at 600 °C and thereafter a decreasing trend up to 800 °C. Gondwana sandstone, most clay-rich, was found to be most vulnerable to elevated temperatures compared to the other two sandstones. The maximum average pore coordination number for Dholpur and Jodhpur sandstone was observed at 600 °C (7.097) and 800 °C (6.953), respectively.</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Mahmoudi, N., Hagen, S.M., Hazen, T.C., Steen, A.D., </w:t>
      </w:r>
      <w:r w:rsidR="00616347">
        <w:t xml:space="preserve">2020. </w:t>
      </w:r>
      <w:r w:rsidRPr="003532DF">
        <w:t>Patterns in extracellular enzyme activity and microbial diversity in deep-sea Mediterranean sediments. Deep Sea Research Part I: Oceanographic Research Papers 158, 103231.</w:t>
      </w:r>
    </w:p>
    <w:p w:rsidR="00DB42FE" w:rsidRPr="003532DF" w:rsidRDefault="00DB42FE" w:rsidP="00616347">
      <w:pPr>
        <w:pStyle w:val="EndNoteBibliography"/>
        <w:ind w:left="360"/>
      </w:pPr>
      <w:r w:rsidRPr="003532DF">
        <w:t>http://www.sciencedirect.com/science/article/pii/S0967063720300194</w:t>
      </w:r>
    </w:p>
    <w:p w:rsidR="00DB42FE" w:rsidRPr="003532DF" w:rsidRDefault="00DB42FE" w:rsidP="00616347">
      <w:pPr>
        <w:pStyle w:val="EndNoteBibliography"/>
        <w:spacing w:after="0"/>
        <w:ind w:left="360"/>
      </w:pPr>
      <w:r w:rsidRPr="003532DF">
        <w:t xml:space="preserve">Deep-sea sediments are populated by diverse microbial communities that derive their nutritional requirements from the degradation of organic matter. Extracellular hydrolytic enzymes play a key role in the survival of microbes by enabling them to access and degrade complex organic compounds that are found in seafloor sediments. Despite their importance, extracellular enzymatic activity is poorly characterized at water depths greater than a few hundred meters where physical properties, such as pressure and temperature, create a unique environment for influencing enzyme behavior. Here, we investigated microbial communities and enzyme activities in surface sediment </w:t>
      </w:r>
      <w:r w:rsidRPr="003532DF">
        <w:lastRenderedPageBreak/>
        <w:t>collected at four sampling stations in the central Mediterranean Sea at water depths ranging from 800 to 2200 m. Fluorometric assays revealed that extracellular hydrolytic activity varied according to substrate type and water depth which suggests that the distributions of these enzymes within this basin are not homogenous. Furthermore, enzyme activities indicated substantial demand for phosphomonoesters and proteins, with measurable but much lower demand for polysaccharides. Barcoded amplicon sequencing of bacterial and archaeal SSU genes revealed that microbial communities varied across sampling stations and some groups displayed water-depth related trends. Our results demonstrate that heterotrophic capabilities of microbes in deep-sea Mediterranean sediments can differ substantially even within the same region.</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Maitland, B.A., Tune, J.W., Grubb, M.P., </w:t>
      </w:r>
      <w:r w:rsidR="00616347">
        <w:t xml:space="preserve">2020. </w:t>
      </w:r>
      <w:r w:rsidRPr="003532DF">
        <w:t>Identification of the natural origin of waterproofing pine pitch in historical Southwest Native American basketry through gas chromatography-mass spectrometry. Journal of Archaeological Science: Reports 30, 102190.</w:t>
      </w:r>
    </w:p>
    <w:p w:rsidR="00DB42FE" w:rsidRPr="003532DF" w:rsidRDefault="00DB42FE" w:rsidP="00616347">
      <w:pPr>
        <w:pStyle w:val="EndNoteBibliography"/>
        <w:ind w:left="360"/>
      </w:pPr>
      <w:r w:rsidRPr="003532DF">
        <w:t>http://www.sciencedirect.com/science/article/pii/S2352409X19306996</w:t>
      </w:r>
    </w:p>
    <w:p w:rsidR="00DB42FE" w:rsidRPr="003532DF" w:rsidRDefault="00DB42FE" w:rsidP="00616347">
      <w:pPr>
        <w:pStyle w:val="EndNoteBibliography"/>
        <w:spacing w:after="0"/>
        <w:ind w:left="360"/>
      </w:pPr>
      <w:r w:rsidRPr="003532DF">
        <w:t xml:space="preserve">Archaeological and ethnographic records document a long and rich history of plant-based resource use by Indigenous peoples of the American Southwest. The history of this resource use tells a complex story of human-environment relationships in this arid landscape. Indigenous peoples of the American Southwest have historically made use of pine pitch to waterproof their basketry. Here, we have identified the pine species origin of the pitch used to construct historical baskets utilizing gas chromatography-mass spectrometry. Resin samples were collected from the three main resinous plants in the Four Corners area: </w:t>
      </w:r>
      <w:r w:rsidRPr="003532DF">
        <w:rPr>
          <w:i/>
        </w:rPr>
        <w:t>Pinus edilus</w:t>
      </w:r>
      <w:r w:rsidRPr="003532DF">
        <w:t xml:space="preserve">, </w:t>
      </w:r>
      <w:r w:rsidRPr="003532DF">
        <w:rPr>
          <w:i/>
        </w:rPr>
        <w:t>Pinus ponderosa</w:t>
      </w:r>
      <w:r w:rsidRPr="003532DF">
        <w:t xml:space="preserve">, and </w:t>
      </w:r>
      <w:r w:rsidRPr="003532DF">
        <w:rPr>
          <w:i/>
        </w:rPr>
        <w:t>Juniperus scoplulorum</w:t>
      </w:r>
      <w:r w:rsidRPr="003532DF">
        <w:t xml:space="preserve">, and their GC chromatograms were analyzed for characteristic molecular components. Furthermore, some of these resin samples were heated to simulate the pitch-application process to ensure the characteristic molecular components were still present after baking. We have found that the ratio of γ-muurolene to longifolene provides a reliable indication of the pines species origin of the pitch, even after being exposed to elevated temperatures, and that all 14 of the historical baskets analyzed were waterproofed primarily with resinous material collected from the </w:t>
      </w:r>
      <w:r w:rsidRPr="003532DF">
        <w:rPr>
          <w:i/>
        </w:rPr>
        <w:t>Pinus edilus</w:t>
      </w:r>
      <w:r w:rsidRPr="003532DF">
        <w:t xml:space="preserve"> species.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Manning, S.W., Kromer, B., Cremaschi, M., Dee, M.W., Friedrich, R., Griggs, C., Hadden, C.S., </w:t>
      </w:r>
      <w:r w:rsidR="00616347">
        <w:t xml:space="preserve">2020. </w:t>
      </w:r>
      <w:r w:rsidRPr="003532DF">
        <w:t>Mediterranean radiocarbon offsets and calendar dates for prehistory. Science Advances 6, eaaz1096.</w:t>
      </w:r>
    </w:p>
    <w:p w:rsidR="00DB42FE" w:rsidRPr="003532DF" w:rsidRDefault="00DB42FE" w:rsidP="00616347">
      <w:pPr>
        <w:pStyle w:val="EndNoteBibliography"/>
        <w:ind w:left="360"/>
      </w:pPr>
      <w:r w:rsidRPr="003532DF">
        <w:t>http://advances.sciencemag.org/content/6/12/eaaz1096.abstract</w:t>
      </w:r>
    </w:p>
    <w:p w:rsidR="00DB42FE" w:rsidRPr="003532DF" w:rsidRDefault="00DB42FE" w:rsidP="00616347">
      <w:pPr>
        <w:pStyle w:val="EndNoteBibliography"/>
        <w:spacing w:after="0"/>
        <w:ind w:left="360"/>
      </w:pPr>
      <w:r w:rsidRPr="003532DF">
        <w:t>A single Northern Hemisphere calibration curve has formed the basis of radiocarbon dating in Europe and the Mediterranean for five decades, setting the time frame for prehistory. However, as measurement precision increases, there is mounting evidence for some small but substantive regional (partly growing season) offsets in same-year radiocarbon levels. Controlling for interlaboratory variation, we compare radiocarbon data from Europe and the Mediterranean in the second to earlier first millennia BCE. Consistent with recent findings in the second millennium CE, these data suggest that some small, but critical, periods of variation for Mediterranean radiocarbon levels exist, especially associated with major reversals or plateaus in the atmospheric radiocarbon record. At high precision, these variations potentially affect calendar dates for prehistory by up to a few decades, including, for example, Egyptian history and the much-debated Thera/Santorini volcanic eruption.</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Marriott, P.J., Nolvachai, Y., </w:t>
      </w:r>
      <w:r w:rsidR="00616347">
        <w:t xml:space="preserve">2020. </w:t>
      </w:r>
      <w:r w:rsidRPr="003532DF">
        <w:t>Chapter 2 - A better way to separate the wheat from the chaff. Progression from single-dimension gas chromatography to multidimensional gas chromatography, in: Snow, N.H. (Ed.), Separation Science and Technology. Academic Press, pp. 41-68.</w:t>
      </w:r>
    </w:p>
    <w:p w:rsidR="00DB42FE" w:rsidRPr="003532DF" w:rsidRDefault="00DB42FE" w:rsidP="00616347">
      <w:pPr>
        <w:pStyle w:val="EndNoteBibliography"/>
        <w:ind w:left="360"/>
      </w:pPr>
      <w:r w:rsidRPr="003532DF">
        <w:t>http://www.sciencedirect.com/science/article/pii/B9780128137451000027</w:t>
      </w:r>
    </w:p>
    <w:p w:rsidR="00DB42FE" w:rsidRPr="003532DF" w:rsidRDefault="00DB42FE" w:rsidP="00616347">
      <w:pPr>
        <w:pStyle w:val="EndNoteBibliography"/>
        <w:spacing w:after="0"/>
        <w:ind w:left="360"/>
      </w:pPr>
      <w:r w:rsidRPr="003532DF">
        <w:t>Single-dimensional—i.e., single-column—gas chromatography (GC) has been a mainstay technique for GC analysis of volatile compounds for many years. It operates according to well-established separation principles; methods for injection and detection are reliable, and we can refer to it as a mature technique. However, this does not mean that it is without its shortcomings. In this chapter, the focus is on the separation provided by GC, especially the measures that can be taken to improve compound resolution and total peak capacity, by use of multiple GC columns. This defines the multidimensional (MDGC), or its more recent counterpart, comprehensive two-dimensional gas chromatography (GC×GC), experiment. Consideration of the chromatographic details of how method is setup, the nomenclature that allows clear definition of experimental parameters, comments on quantification, enantioselective analysis, and higher separation dimensionality are discussed. If it is accepted that improved analysis arises for better resolved compounds, then the analytical quality that derives from MDGC and GC×GC should make these techniques a necessary addition to the analyst's toolbox.</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Martin, P.E., Farley, K.A., Archer Jr, P.D., Hogancamp, J.V., Siebach, K.L., Grotzinger, J.P., McLennan, S.M., </w:t>
      </w:r>
      <w:r w:rsidR="00616347">
        <w:t xml:space="preserve">2020. </w:t>
      </w:r>
      <w:r w:rsidRPr="003532DF">
        <w:t>Reevaluation of perchlorate in Gale Crater rocks suggests geologically recent perchlorate addition. Journal of Geophysical Research: Planets 125, e2019JE006156.</w:t>
      </w:r>
    </w:p>
    <w:p w:rsidR="00DB42FE" w:rsidRPr="003532DF" w:rsidRDefault="00DB42FE" w:rsidP="00616347">
      <w:pPr>
        <w:pStyle w:val="EndNoteBibliography"/>
        <w:ind w:left="360"/>
      </w:pPr>
      <w:r w:rsidRPr="003532DF">
        <w:t>https://doi.org/10.1029/2019JE006156</w:t>
      </w:r>
    </w:p>
    <w:p w:rsidR="00DB42FE" w:rsidRPr="003532DF" w:rsidRDefault="00DB42FE" w:rsidP="00616347">
      <w:pPr>
        <w:pStyle w:val="EndNoteBibliography"/>
        <w:ind w:left="360"/>
      </w:pPr>
      <w:r w:rsidRPr="003532DF">
        <w:t>Abstract: Perchlorate (ClO</w:t>
      </w:r>
      <w:r w:rsidRPr="003532DF">
        <w:rPr>
          <w:vertAlign w:val="subscript"/>
        </w:rPr>
        <w:t>4</w:t>
      </w:r>
      <w:r w:rsidRPr="003532DF">
        <w:rPr>
          <w:vertAlign w:val="superscript"/>
        </w:rPr>
        <w:t>−</w:t>
      </w:r>
      <w:r w:rsidRPr="003532DF">
        <w:t>) was discovered in Martian soil by the Phoenix lander, with important implications for potential Martian biology, photochemistry, aqueous chemistry, and the chlorine cycle on Mars. Perchlorate was subsequently reported in both loose sediment and bedrock samples analyzed by the Sample Analysis at Mars instrument onboard the Curiosity rover in Gale crater based on a release of O</w:t>
      </w:r>
      <w:r w:rsidRPr="003532DF">
        <w:rPr>
          <w:vertAlign w:val="subscript"/>
        </w:rPr>
        <w:t>2</w:t>
      </w:r>
      <w:r w:rsidRPr="003532DF">
        <w:t xml:space="preserve"> at 200–500°C. However, the continually wet paleoenvironment recorded by the sedimentary rocks in Gale crater was not conducive to the deposition of highly soluble salts. Furthermore, the preservation of ancient perchlorate to the modern day is unexpected due to its low thermodynamic stability and radiolytic decomposition associated with its long exposure to radioactivity and cosmic radiation. We therefore investigate alternative sources of O</w:t>
      </w:r>
      <w:r w:rsidRPr="003532DF">
        <w:rPr>
          <w:vertAlign w:val="subscript"/>
        </w:rPr>
        <w:t>2</w:t>
      </w:r>
      <w:r w:rsidRPr="003532DF">
        <w:t xml:space="preserve"> in Sample Analysis at Mars analyses including superoxides, sulfates, nitrate, and nanophase iron and manganese oxides. Geochemical evidence and oxygen release patterns observed by Curiosity are inconsistent with each of these alternatives. We conclude that perchlorate is indeed the most likely source of the detected O</w:t>
      </w:r>
      <w:r w:rsidRPr="003532DF">
        <w:rPr>
          <w:vertAlign w:val="subscript"/>
        </w:rPr>
        <w:t>2</w:t>
      </w:r>
      <w:r w:rsidRPr="003532DF">
        <w:t xml:space="preserve"> release at 200–500°C, but contend that it is unlikely to be ancient. Rather than being associated with the lacustrine or early diagenetic environment, the most likely origin of perchlorate in the bedrock is late stage addition by downward percolation of water through rock pore space during transient wetting events in the Amazonian. The conclusion that the observed perchlorate in Gale crater is most likely Amazonian suggests the presence of recent liquid water at the modern surface.</w:t>
      </w:r>
    </w:p>
    <w:p w:rsidR="00DB42FE" w:rsidRPr="003532DF" w:rsidRDefault="00DB42FE" w:rsidP="00616347">
      <w:pPr>
        <w:pStyle w:val="EndNoteBibliography"/>
        <w:spacing w:after="0"/>
        <w:ind w:left="360"/>
      </w:pPr>
      <w:r w:rsidRPr="003532DF">
        <w:t xml:space="preserve">Plain Language Summary: Perchlorate is a chemical found on Mars that dissolves easily in water, which can keep water from freezing at the cold temperatures found on Mars's surface. It was first </w:t>
      </w:r>
      <w:r w:rsidRPr="003532DF">
        <w:lastRenderedPageBreak/>
        <w:t>discovered in soil, and has been found by the Curiosity rover in rock at Gale crater. Perchlorate should have flowed out of the sandy lake bottom in ancient Gale crater before it turned into rock. Perchlorate is also easily destroyed, so even if it were included in the rock originally, perchlorate should have disintegrated in the following ~3.5 billion years. Because of these dilemmas with finding perchlorate in ancient rocks, we have reevaluated the evidence for perchlorate as observed by Curiosity. Of a number of other chemicals which could explain the data, we find that perchlorate is still the best fit and is probably present. Due to the problems with perchlorate being included in the rock originally and surviving until today, we conclude that it has been added to the rocks recently. This recent addition could happen by perchlorate dissolving in water and flowing into the rock. Such a process suggests that liquid water was present in Gale crater long after Mars became cold and dry.</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Masoudi, M., Miri, R., Hellevang, H., Kord, S., </w:t>
      </w:r>
      <w:r w:rsidR="00616347">
        <w:t xml:space="preserve">2020. </w:t>
      </w:r>
      <w:r w:rsidRPr="003532DF">
        <w:t>Modified PC-SAFT characterization technique for modeling asphaltenic crude oil phase behavior. Fluid Phase Equilibria 513, 112545.</w:t>
      </w:r>
    </w:p>
    <w:p w:rsidR="00DB42FE" w:rsidRPr="003532DF" w:rsidRDefault="00DB42FE" w:rsidP="00616347">
      <w:pPr>
        <w:pStyle w:val="EndNoteBibliography"/>
        <w:ind w:left="360"/>
      </w:pPr>
      <w:r w:rsidRPr="003532DF">
        <w:t>http://www.sciencedirect.com/science/article/pii/S0378381220300911</w:t>
      </w:r>
    </w:p>
    <w:p w:rsidR="00DB42FE" w:rsidRPr="003532DF" w:rsidRDefault="00DB42FE" w:rsidP="00616347">
      <w:pPr>
        <w:pStyle w:val="EndNoteBibliography"/>
        <w:ind w:left="360"/>
      </w:pPr>
      <w:r w:rsidRPr="003532DF">
        <w:t>The perturbed-chain version of Statistical Association Fluid Theory (PC-SAFT) emerged as a powerful tool to study the phase behavior of complex fluids such as polymers and asphaltene. In spite of this, it has not gained widespread acceptance in the industry because of its sophisticated oil characterization procedure. In fact, the predictive performance of the current characterization methods is limited and not all-inclusive as they use a large number of fitting parameters and/or a non-integrated procedure. In this study, a convenient and easy-to-use procedure for crude oil characterization is proposed, assuming asphaltene as a combination of poly-nuclear aromatics, benzene derivatives, and saturates.</w:t>
      </w:r>
    </w:p>
    <w:p w:rsidR="00DB42FE" w:rsidRPr="003532DF" w:rsidRDefault="00DB42FE" w:rsidP="00616347">
      <w:pPr>
        <w:pStyle w:val="EndNoteBibliography"/>
        <w:ind w:left="360"/>
      </w:pPr>
      <w:r w:rsidRPr="003532DF">
        <w:t>To achieve the best match between measured and model predictions, a simple and robust Trust-Region based optimization method is used. A set of weighting factors is also used based on uncertainties in experimental data. Additionally, it is showed that the poor agreement between the measured amounts of precipitated asphaltene (from filtration test) and thermodynamic model predictions —tuned toward experimental asphaltene onset pressure data— is because of the inherent difference between the accuracy of the experimental methods.</w:t>
      </w:r>
    </w:p>
    <w:p w:rsidR="00DB42FE" w:rsidRPr="003532DF" w:rsidRDefault="00DB42FE" w:rsidP="00616347">
      <w:pPr>
        <w:pStyle w:val="EndNoteBibliography"/>
        <w:spacing w:after="0"/>
        <w:ind w:left="360"/>
      </w:pPr>
      <w:r w:rsidRPr="003532DF">
        <w:t>The performance of the proposed method is evaluated against reliable literature data of three frequently used crude oils which have been previously characterized over wide range of temperature, pressure, and compositions, and a reservoir fluid sample taken from a southwestern Iranian reservoir. The results are encouraging if compared to the available characterization procedures in the literature.</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Mathanlal, T., Bhardwaj, A., Ramachandran, A.V., Zorzano, M.-P., Martín-Torres, J., Cockell, C.S., Paling, S., Edwards, T., </w:t>
      </w:r>
      <w:r w:rsidR="00616347">
        <w:t xml:space="preserve">2020. </w:t>
      </w:r>
      <w:r w:rsidRPr="003532DF">
        <w:t>Subsurface robotic exploration for geomorphology, astrobiology and mining during MINAR6 campaign, Boulby Mine, UK: part I (Rover development). International Journal of Astrobiology 19, 110-125.</w:t>
      </w:r>
    </w:p>
    <w:p w:rsidR="00DB42FE" w:rsidRPr="003532DF" w:rsidRDefault="00DB42FE" w:rsidP="00616347">
      <w:pPr>
        <w:pStyle w:val="EndNoteBibliography"/>
        <w:ind w:left="360"/>
      </w:pPr>
      <w:r w:rsidRPr="003532DF">
        <w:t>https://doi.org/10.1017/S147355041900020X</w:t>
      </w:r>
    </w:p>
    <w:p w:rsidR="00DB42FE" w:rsidRPr="003532DF" w:rsidRDefault="00DB42FE" w:rsidP="00616347">
      <w:pPr>
        <w:pStyle w:val="EndNoteBibliography"/>
        <w:spacing w:after="0"/>
        <w:ind w:left="360"/>
      </w:pPr>
      <w:r w:rsidRPr="003532DF">
        <w:t xml:space="preserve">Autonomous exploration requires the use of movable platforms that carry a payload of instruments with a certain level of autonomy and communication with the operators. This is particularly challenging in subsurface environments, which may be more dangerous for human access and </w:t>
      </w:r>
      <w:r w:rsidRPr="003532DF">
        <w:lastRenderedPageBreak/>
        <w:t>where communication with the surface is limited. Subsurface robotic exploration, which has been to date very limited, is interesting not only for science but also for cost-effective industrial exploitation of resources and safety assessments in mines. Furthermore, it has a direct application to exploration of extra-terrestrial subsurface environments of astrobiological and geological significance such as caves, lava tubes, impact or volcanic craters and subglacial conduits, for deriving in-situ mineralogical resources and establishing preliminary settlements. However, the technological solutions are generally tailor-made and are therefore considered as costly, fragile and environment-specific, further hindering their extensive and effective applications. To demonstrate the advantages of rover exploration for a broad-community, we have developed KORE (KOmpact Rover for Exploration); a low-cost, re-usable, rover multi-purpose platform. The rover platform has been developed as a technological demonstration for extra-terrestrial subsurface exploration and terrestrial mining operations pertaining to geomorphological mapping, environmental monitoring, gas leak detections and search and rescue operations in case of an accident. The present paper, the first part of a series of two, focuses on describing the development of a robust rover platform to perform dedicated geomorphological, astrobiological and mining tasks. KORE was further tested in the Mine Analogue Research 6 (MINAR6) campaign during September 2018 in the Boulby mine (UK), the second deepest potash mine in Europe at a subsurface depth of 1.1 km, the results of which will be presented in the second paper of this series. KORE is a large, semi-autonomous rover weighing 160 kg with L × W × H dimensions 1.2 m × 0.8 m × 1 m and a payload carrying capacity of 100 kg using 800 W traction power that can power to a maximum speed of 8.4 km h</w:t>
      </w:r>
      <w:r w:rsidRPr="003532DF">
        <w:rPr>
          <w:vertAlign w:val="superscript"/>
        </w:rPr>
        <w:t>−1</w:t>
      </w:r>
      <w:r w:rsidRPr="003532DF">
        <w:t>. The rover can be easily dismantled in three parts facilitating its transportation to any chosen site of exploration. Presently, the main scientific payloads on KORE are: (1) a three-dimensional mapping camera, (2) a methane detection system, (3) an environmental station capable of monitoring temperature, relative humidity, pressure and gases such as NO</w:t>
      </w:r>
      <w:r w:rsidRPr="003532DF">
        <w:rPr>
          <w:vertAlign w:val="subscript"/>
        </w:rPr>
        <w:t>2</w:t>
      </w:r>
      <w:r w:rsidRPr="003532DF">
        <w:t>, SO</w:t>
      </w:r>
      <w:r w:rsidRPr="003532DF">
        <w:rPr>
          <w:vertAlign w:val="subscript"/>
        </w:rPr>
        <w:t>2</w:t>
      </w:r>
      <w:r w:rsidRPr="003532DF">
        <w:t>, H</w:t>
      </w:r>
      <w:r w:rsidRPr="003532DF">
        <w:rPr>
          <w:vertAlign w:val="subscript"/>
        </w:rPr>
        <w:t>2</w:t>
      </w:r>
      <w:r w:rsidRPr="003532DF">
        <w:t>S, formaldehyde, CO, CO</w:t>
      </w:r>
      <w:r w:rsidRPr="003532DF">
        <w:rPr>
          <w:vertAlign w:val="subscript"/>
        </w:rPr>
        <w:t>2</w:t>
      </w:r>
      <w:r w:rsidRPr="003532DF">
        <w:t>, O</w:t>
      </w:r>
      <w:r w:rsidRPr="003532DF">
        <w:rPr>
          <w:vertAlign w:val="subscript"/>
        </w:rPr>
        <w:t>3</w:t>
      </w:r>
      <w:r w:rsidRPr="003532DF">
        <w:t>, O</w:t>
      </w:r>
      <w:r w:rsidRPr="003532DF">
        <w:rPr>
          <w:vertAlign w:val="subscript"/>
        </w:rPr>
        <w:t>2</w:t>
      </w:r>
      <w:r w:rsidRPr="003532DF">
        <w:t>, volatile organic compounds and particulates and (4) a robotic arm. Moreover, the design of the rover allows for integration of more sensors as per the scientific requirements in future expeditions. At the MINAR6 campaign, the technical readiness of KORE was demonstrated during 6 days of scientific research in the mine, with a total of 22 h of operation.</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Mathews, R.P., Chetia, R., Agrawal, S., Singh, B.D., Singh, P.K., Singh, V.P., Singh, A., </w:t>
      </w:r>
      <w:r w:rsidR="00616347">
        <w:t xml:space="preserve">2020. </w:t>
      </w:r>
      <w:r w:rsidRPr="003532DF">
        <w:t xml:space="preserve">Early Palaeogene climate variability based on </w:t>
      </w:r>
      <w:r w:rsidRPr="003532DF">
        <w:rPr>
          <w:i/>
        </w:rPr>
        <w:t>n</w:t>
      </w:r>
      <w:r w:rsidRPr="003532DF">
        <w:t>-alkane and stable carbon isotopic composition evidenced from the Barsingsar lignite-bearing sequence of Rajasthan. Journal of the Geological Society of India 95, 255-262.</w:t>
      </w:r>
    </w:p>
    <w:p w:rsidR="00DB42FE" w:rsidRPr="003532DF" w:rsidRDefault="00DB42FE" w:rsidP="00616347">
      <w:pPr>
        <w:pStyle w:val="EndNoteBibliography"/>
        <w:ind w:left="360"/>
      </w:pPr>
      <w:r w:rsidRPr="003532DF">
        <w:t>https://doi.org/10.1007/s12594-020-1423-2</w:t>
      </w:r>
    </w:p>
    <w:p w:rsidR="00DB42FE" w:rsidRPr="003532DF" w:rsidRDefault="00DB42FE" w:rsidP="00616347">
      <w:pPr>
        <w:pStyle w:val="EndNoteBibliography"/>
        <w:spacing w:after="0"/>
        <w:ind w:left="360"/>
      </w:pPr>
      <w:r w:rsidRPr="003532DF">
        <w:t xml:space="preserve">The assessment of variations and the reconstruction of palaeoclimate, based on the distribution of </w:t>
      </w:r>
      <w:r w:rsidRPr="003532DF">
        <w:rPr>
          <w:i/>
        </w:rPr>
        <w:t>n</w:t>
      </w:r>
      <w:r w:rsidRPr="003532DF">
        <w:t xml:space="preserve">-alkanes and stable carbon isotope data, during early Palaeogene have been made on the Barsingsar lignite-bearing sequence associated with Palana Formation (Bikaner-Nagaur basin). The distribution pattern of various </w:t>
      </w:r>
      <w:r w:rsidRPr="003532DF">
        <w:rPr>
          <w:i/>
        </w:rPr>
        <w:t>n</w:t>
      </w:r>
      <w:r w:rsidRPr="003532DF">
        <w:t xml:space="preserve">-alkanes and the derived indices/ratios have widely been used as palaeoclimate indicators in several depositional realms. The distribution of </w:t>
      </w:r>
      <w:r w:rsidRPr="003532DF">
        <w:rPr>
          <w:i/>
        </w:rPr>
        <w:t>n</w:t>
      </w:r>
      <w:r w:rsidRPr="003532DF">
        <w:t>-alkanes in the studied sequence varies from C</w:t>
      </w:r>
      <w:r w:rsidRPr="003532DF">
        <w:rPr>
          <w:vertAlign w:val="subscript"/>
        </w:rPr>
        <w:t>13</w:t>
      </w:r>
      <w:r w:rsidRPr="003532DF">
        <w:t xml:space="preserve"> to C</w:t>
      </w:r>
      <w:r w:rsidRPr="003532DF">
        <w:rPr>
          <w:vertAlign w:val="subscript"/>
        </w:rPr>
        <w:t>34</w:t>
      </w:r>
      <w:r w:rsidRPr="003532DF">
        <w:t xml:space="preserve">. The values of calculated </w:t>
      </w:r>
      <w:r w:rsidRPr="003532DF">
        <w:rPr>
          <w:i/>
        </w:rPr>
        <w:t>n</w:t>
      </w:r>
      <w:r w:rsidRPr="003532DF">
        <w:t>-alkane parameters range from 26.20–28.39 (aliphatic chain length (ACL) index); 0.32–7.21 (low-to-higher molecular weight (L/H) ratio); 0.42–0.85 (Proxy wax (P</w:t>
      </w:r>
      <w:r w:rsidRPr="003532DF">
        <w:rPr>
          <w:vertAlign w:val="subscript"/>
        </w:rPr>
        <w:t>wax</w:t>
      </w:r>
      <w:r w:rsidRPr="003532DF">
        <w:t>)); 0.20–0.67 (Proxy aqueous (P</w:t>
      </w:r>
      <w:r w:rsidRPr="003532DF">
        <w:rPr>
          <w:vertAlign w:val="subscript"/>
        </w:rPr>
        <w:t>aq</w:t>
      </w:r>
      <w:r w:rsidRPr="003532DF">
        <w:t>)); 0.28–5.22 (terrigenous/aquatic ratio (TAR)); 0.16–0.79 (C</w:t>
      </w:r>
      <w:r w:rsidRPr="003532DF">
        <w:rPr>
          <w:vertAlign w:val="subscript"/>
        </w:rPr>
        <w:t>23</w:t>
      </w:r>
      <w:r w:rsidRPr="003532DF">
        <w:t>/C</w:t>
      </w:r>
      <w:r w:rsidRPr="003532DF">
        <w:rPr>
          <w:vertAlign w:val="subscript"/>
        </w:rPr>
        <w:t>29</w:t>
      </w:r>
      <w:r w:rsidRPr="003532DF">
        <w:t xml:space="preserve"> ratio); 1.14–6.31 (C</w:t>
      </w:r>
      <w:r w:rsidRPr="003532DF">
        <w:rPr>
          <w:vertAlign w:val="subscript"/>
        </w:rPr>
        <w:t>27</w:t>
      </w:r>
      <w:r w:rsidRPr="003532DF">
        <w:t>/C</w:t>
      </w:r>
      <w:r w:rsidRPr="003532DF">
        <w:rPr>
          <w:vertAlign w:val="subscript"/>
        </w:rPr>
        <w:t>31</w:t>
      </w:r>
      <w:r w:rsidRPr="003532DF">
        <w:t xml:space="preserve"> ratio) and 1.47–7.02 (C</w:t>
      </w:r>
      <w:r w:rsidRPr="003532DF">
        <w:rPr>
          <w:vertAlign w:val="subscript"/>
        </w:rPr>
        <w:t>29</w:t>
      </w:r>
      <w:r w:rsidRPr="003532DF">
        <w:t>/C</w:t>
      </w:r>
      <w:r w:rsidRPr="003532DF">
        <w:rPr>
          <w:vertAlign w:val="subscript"/>
        </w:rPr>
        <w:t>31</w:t>
      </w:r>
      <w:r w:rsidRPr="003532DF">
        <w:t xml:space="preserve"> ratio). The δ</w:t>
      </w:r>
      <w:r w:rsidRPr="003532DF">
        <w:rPr>
          <w:vertAlign w:val="superscript"/>
        </w:rPr>
        <w:t>13</w:t>
      </w:r>
      <w:r w:rsidRPr="003532DF">
        <w:t xml:space="preserve">C varies from −24.8 to −26.1‰ and the TOC varies from 9.6 to 69.5 wt.%. All these variations indicate the changes in palaeoclimate from dry and warm to cool and wet conditions during the deposition </w:t>
      </w:r>
      <w:r w:rsidRPr="003532DF">
        <w:lastRenderedPageBreak/>
        <w:t>of this lignite-bearing sequence. Further, it is also suggested that the climatic condition was cooler than that of the Palaeocene-Eocene thermal maximum (PETM) event.</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McGeoch, M.W., Dikler, S., McGeoch, J.E.M., </w:t>
      </w:r>
      <w:r w:rsidR="00616347">
        <w:t xml:space="preserve">2020. </w:t>
      </w:r>
      <w:r w:rsidRPr="003532DF">
        <w:t>Hemolithin: a meteoritic protein containing iron and lithium. arXiv:2002.11688.</w:t>
      </w:r>
    </w:p>
    <w:p w:rsidR="00DB42FE" w:rsidRPr="003532DF" w:rsidRDefault="00DB42FE" w:rsidP="00616347">
      <w:pPr>
        <w:pStyle w:val="EndNoteBibliography"/>
        <w:ind w:left="360"/>
      </w:pPr>
      <w:r w:rsidRPr="003532DF">
        <w:t>https://arxiv.org/abs/2002.11688</w:t>
      </w:r>
    </w:p>
    <w:p w:rsidR="00DB42FE" w:rsidRPr="003532DF" w:rsidRDefault="00DB42FE" w:rsidP="00616347">
      <w:pPr>
        <w:pStyle w:val="EndNoteBibliography"/>
        <w:spacing w:after="0"/>
        <w:ind w:left="360"/>
      </w:pPr>
      <w:r w:rsidRPr="003532DF">
        <w:t xml:space="preserve">This paper characterizes the first protein to be discovered in a meteorite. Amino acid polymers previously observed in Acfer 086 and Allende meteorites [1,2] have been further characterized in Acfer 086 via high precision MALDI mass spectrometry to reveal a principal unified structure of molecular weight 2320 Daltons that involves chains of glycine and hydroxy-glycine residues terminated by iron atoms, with additional oxygen and lithium atoms. Signal-to-noise ratios up to 135 have allowed the quantification of iron and lithium in the various MALDI fragments via the isotope satellites due to their respective minority isotopic masses 54Fe and 6Li. Analysis of the complete spectrum of isotopes associated with each molecular fragment shows 2H enhancements above terrestrial averaging 25,700 parts per thousand (sigma = 3,500, n=15), confirming extra-terrestrial origin and hence the existence of this molecule within the asteroid parent body of the CV3 meteorite class. The molecule is tipped by an iron-oxygen-iron grouping that in other terrestrial contexts has been proposed to be capable of absorbing photons and splitting water into hydroxyl and hydrogen moieties. </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Mei, Y., Zhang, S., Wang, H., Jing, S., Hou, T., Pang, S., </w:t>
      </w:r>
      <w:r w:rsidR="00616347">
        <w:t xml:space="preserve">2020. </w:t>
      </w:r>
      <w:r w:rsidRPr="003532DF">
        <w:t>Low-temperature deoxidization of lignin and its impact on liquid products from pyrolysis. Energy &amp; Fuels 34, 3422-3428.</w:t>
      </w:r>
    </w:p>
    <w:p w:rsidR="00DB42FE" w:rsidRPr="003532DF" w:rsidRDefault="00DB42FE" w:rsidP="00616347">
      <w:pPr>
        <w:pStyle w:val="EndNoteBibliography"/>
        <w:ind w:left="360"/>
      </w:pPr>
      <w:r w:rsidRPr="003532DF">
        <w:t>https://doi.org/10.1021/acs.energyfuels.0c00202</w:t>
      </w:r>
    </w:p>
    <w:p w:rsidR="00DB42FE" w:rsidRPr="003532DF" w:rsidRDefault="00DB42FE" w:rsidP="00616347">
      <w:pPr>
        <w:pStyle w:val="EndNoteBibliography"/>
        <w:spacing w:after="0"/>
        <w:ind w:left="360"/>
      </w:pPr>
      <w:r w:rsidRPr="003532DF">
        <w:t>In this study, low-temperature deoxidization of lignin in the temperature range of 200–390 °C as a pretreatment method had been exploited to gain high-quality pyrolysis products. Two-dimensional infrared correlation spectroscopy (2D-PCIS) was used to analyze the evolution of the functional groups of lignin in the process of low-temperature deoxidization, and the deoxidized samples were pyrolyzed by pyrolysis-gas chromatography–mass spectrometry (Py-GC/MS). The results of 2D-PCIS showed that the decomposition of lignin was accelerated from 320 °C, and it was dominated by the elimination reaction. Notably, the aromatization reaction was intensified at 350 °C, whereas the structure of the lilac aromatic ring was more stable than the guaiac aromatic. It was also found that the alcoholic hydroxyl group was significantly removed, and because of this removal, other functional groups also underwent changes during deoxidization. The results of Py-GC/MS experiments showed that deoxidization treatment at temperatures lower than 230 °C had an insignificant effect on the pyrolysis products. However, when the deoxidization temperature was 230 °C and above, the oxygen-containing compounds in the pyrolysis liquid products (mainly phenols) decreased significantly, and when the deoxidization temperature was above 290 °C, hydrocarbons were the main compounds in the pyrolysis liquid product.</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Mekic, M., Zeng, J., Jiang, B., Li, X., Lazarou, Y.G., Brigante, M., Herrmann, H., Gligorovski, S., </w:t>
      </w:r>
      <w:r w:rsidR="00616347">
        <w:t xml:space="preserve">2020. </w:t>
      </w:r>
      <w:r w:rsidRPr="003532DF">
        <w:t>Formation of toxic unsaturated multifunctional and organosulfur compounds from the photosensitized processing of fluorene and DMSO at the air-water interface. Journal of Geophysical Research: Atmospheres 125, e2019JD031839.</w:t>
      </w:r>
    </w:p>
    <w:p w:rsidR="00DB42FE" w:rsidRPr="003532DF" w:rsidRDefault="00DB42FE" w:rsidP="00616347">
      <w:pPr>
        <w:pStyle w:val="EndNoteBibliography"/>
        <w:ind w:left="360"/>
      </w:pPr>
      <w:r w:rsidRPr="003532DF">
        <w:lastRenderedPageBreak/>
        <w:t>https://doi.org/10.1029/2019JD031839</w:t>
      </w:r>
    </w:p>
    <w:p w:rsidR="00DB42FE" w:rsidRPr="003532DF" w:rsidRDefault="00DB42FE" w:rsidP="00616347">
      <w:pPr>
        <w:pStyle w:val="EndNoteBibliography"/>
        <w:spacing w:after="0"/>
        <w:ind w:left="360"/>
      </w:pPr>
      <w:r w:rsidRPr="003532DF">
        <w:t>Polycyclic aromatic hydrocarbons and dimethyl sulfoxide (DMSO) are ubiquitous at the sea surface. Photochemistry at the air‐sea interface is a potentially important source of volatile organic compounds, but the relevant chemical processes are currently not well known. When aqueous solutions containing a mixture of fluorene (FL) and DMSO are irradiated with actinic radiation, a large suite of unsaturated high molecular weight compounds appear in the aqueous phase; a broad variety of saturated and unsaturated oxygenated multifunctional compounds are also observed in the gas phase, most of which are more toxic than FL. A possible sequence of steps leading to some of the observed compounds in aqueous solution as well as in the gas phase is proposed. The reaction pathways initiated by excited triplet state of FL (</w:t>
      </w:r>
      <w:r w:rsidRPr="003532DF">
        <w:rPr>
          <w:vertAlign w:val="superscript"/>
        </w:rPr>
        <w:t>3</w:t>
      </w:r>
      <w:r w:rsidRPr="003532DF">
        <w:t xml:space="preserve">FL*) are supported by theoretical calculations of the reaction Gibbs energies. The formation of organosulfur compounds has been observed to occur in the gas and the aqueous phases initiated by the reaction between </w:t>
      </w:r>
      <w:r w:rsidRPr="003532DF">
        <w:rPr>
          <w:vertAlign w:val="superscript"/>
        </w:rPr>
        <w:t>3</w:t>
      </w:r>
      <w:r w:rsidRPr="003532DF">
        <w:t>FL* and DMSO. The aforementioned photosensitized chemistry at the water surface can have an important impact on the formation of secondary organic aerosol in marine boundary layer as polycyclic aromatic hydrocarbons and DMSO enriched at the water surface are ubiquitous.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Melnikova, I., Sasai, T., </w:t>
      </w:r>
      <w:r w:rsidR="00616347">
        <w:t xml:space="preserve">2020. </w:t>
      </w:r>
      <w:r w:rsidRPr="003532DF">
        <w:t>Effects of anthropogenic activity on global terrestrial gross primary production. Journal of Geophysical Research: Biogeosciences 125, e2019JG005403.</w:t>
      </w:r>
    </w:p>
    <w:p w:rsidR="00DB42FE" w:rsidRPr="003532DF" w:rsidRDefault="00DB42FE" w:rsidP="00616347">
      <w:pPr>
        <w:pStyle w:val="EndNoteBibliography"/>
        <w:ind w:left="360"/>
      </w:pPr>
      <w:r w:rsidRPr="003532DF">
        <w:t>https://doi.org/10.1029/2019JG005403</w:t>
      </w:r>
    </w:p>
    <w:p w:rsidR="00DB42FE" w:rsidRPr="003532DF" w:rsidRDefault="00DB42FE" w:rsidP="00616347">
      <w:pPr>
        <w:pStyle w:val="EndNoteBibliography"/>
        <w:ind w:left="360"/>
      </w:pPr>
      <w:r w:rsidRPr="003532DF">
        <w:t>Abstract: Gross primary production (GPP) has been identified as the largest terrestrial carbon flux and the major driver of the growing biosphere uptake of carbon. Factorial simulations using several biosphere models have been used to estimate the effects of long‐term (&gt;50 years) climate change on global terrestrial GPP. However, no study has integrated large‐ensemble climate simulation data into a biosphere model to realistically estimate global terrestrial GPP with associated uncertainty. Here we present a novel approach to estimate the global terrestrial long‐term GPP with associated climate data‐induced uncertainty that combines a diagnostic‐type biosphere model with a large‐ensemble climate simulation data set. We distinguish the effects of recent anthropogenic activity on global GPP (the anthropogenic GPP effect) from the effects of interannual climate variability (the natural GPP effect) by comparing GPP model estimates forced by historical and “nonwarming” climate data. We provide evidence for an increasing anthropogenic effect on global terrestrial GPP. The anthropogenic GPP effect is driven by CO</w:t>
      </w:r>
      <w:r w:rsidRPr="003532DF">
        <w:rPr>
          <w:vertAlign w:val="subscript"/>
        </w:rPr>
        <w:t>2</w:t>
      </w:r>
      <w:r w:rsidRPr="003532DF">
        <w:t xml:space="preserve"> fertilization, which is projected to weaken or saturate by 2050–2150, depending on the representative concentration pathway scenario used. Model results suggest that shortwave radiation couples with El Niño–Southern Oscillation conditions and volcanic eruptions to drive the natural GPP effect. Because shortwave radiation at the surface is related to cloud cover, we encourage future studies to focus on cloud‐radiation feedbacks on the carbon cycle.</w:t>
      </w:r>
    </w:p>
    <w:p w:rsidR="00DB42FE" w:rsidRPr="003532DF" w:rsidRDefault="00DB42FE" w:rsidP="00616347">
      <w:pPr>
        <w:pStyle w:val="EndNoteBibliography"/>
        <w:spacing w:after="0"/>
        <w:ind w:left="360"/>
      </w:pPr>
      <w:r w:rsidRPr="003532DF">
        <w:t>Plain Language Summary: We estimate the impact of human activity on global land‐based photosynthesis (i.e., gross primary production, GPP) by comparing the GPP of the present climate with the climate of a world in which human‐induced climate change never happened. To do this, we couple a biosphere model with large‐ensemble climate simulations. We separate the effects of anthropogenic activity on global GPP (the anthropogenic GPP effect) from the impact of natural climate variability on GPP (the natural GPP effect) and demonstrate the importance of the anthropogenic GPP effect during 1952–2010. Increasing atmospheric CO</w:t>
      </w:r>
      <w:r w:rsidRPr="003532DF">
        <w:rPr>
          <w:vertAlign w:val="subscript"/>
        </w:rPr>
        <w:t>2</w:t>
      </w:r>
      <w:r w:rsidRPr="003532DF">
        <w:t xml:space="preserve"> drives the anthropogenic GPP effect. This effect, however, will likely weaken by 2050–2150, depending on the trajectory of </w:t>
      </w:r>
      <w:r w:rsidRPr="003532DF">
        <w:lastRenderedPageBreak/>
        <w:t>future CO</w:t>
      </w:r>
      <w:r w:rsidRPr="003532DF">
        <w:rPr>
          <w:vertAlign w:val="subscript"/>
        </w:rPr>
        <w:t>2</w:t>
      </w:r>
      <w:r w:rsidRPr="003532DF">
        <w:t xml:space="preserve"> emissions. The amount of sunlight at the surface drives the natural GPP effect. Because surface sunlight is related to cloud cover, we encourage future studies to focus on cloud‐carbon feedbacks.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Mendonca, C.M., Wilkes, R.A., Aristilde, L., </w:t>
      </w:r>
      <w:r w:rsidR="00616347">
        <w:t xml:space="preserve">2020. </w:t>
      </w:r>
      <w:r w:rsidRPr="003532DF">
        <w:t xml:space="preserve">Advancements in </w:t>
      </w:r>
      <w:r w:rsidRPr="003532DF">
        <w:rPr>
          <w:vertAlign w:val="superscript"/>
        </w:rPr>
        <w:t>13</w:t>
      </w:r>
      <w:r w:rsidRPr="003532DF">
        <w:t xml:space="preserve">C isotope tracking of synergistic substrate co-utilization in </w:t>
      </w:r>
      <w:r w:rsidRPr="003532DF">
        <w:rPr>
          <w:i/>
        </w:rPr>
        <w:t xml:space="preserve">Pseudomonas </w:t>
      </w:r>
      <w:r w:rsidRPr="003532DF">
        <w:t>species and implications for biotechnology applications. Current Opinion in Biotechnology 64, 124-133.</w:t>
      </w:r>
    </w:p>
    <w:p w:rsidR="00DB42FE" w:rsidRPr="003532DF" w:rsidRDefault="00DB42FE" w:rsidP="00616347">
      <w:pPr>
        <w:pStyle w:val="EndNoteBibliography"/>
        <w:ind w:left="360"/>
      </w:pPr>
      <w:r w:rsidRPr="003532DF">
        <w:t>http://www.sciencedirect.com/science/article/pii/S0958166920300148</w:t>
      </w:r>
    </w:p>
    <w:p w:rsidR="00DB42FE" w:rsidRPr="003532DF" w:rsidRDefault="00DB42FE" w:rsidP="00616347">
      <w:pPr>
        <w:pStyle w:val="EndNoteBibliography"/>
        <w:spacing w:after="0"/>
        <w:ind w:left="360"/>
      </w:pPr>
      <w:r w:rsidRPr="003532DF">
        <w:t xml:space="preserve">Pseudomonads are well-known to thrive in diverse and complex nutritional habitats, and these capabilities make </w:t>
      </w:r>
      <w:r w:rsidRPr="003532DF">
        <w:rPr>
          <w:i/>
        </w:rPr>
        <w:t>Pseudomonas</w:t>
      </w:r>
      <w:r w:rsidRPr="003532DF">
        <w:t xml:space="preserve"> species attractive as whole-cell biocatalysts. Industrial bioconversion processes often rely on complex uptake and synergistic metabolic systems due to the presence of varied carbon substrates in nutrient feedstocks. Isotope labeling experiments (ILEs) are emerging techniques used to elucidate cell metabolism following feeding on isotopically enriched substrates and are pivotal to the understanding of carbon partitioning during co-utilization. In this review, we highlight the applications of ILEs to decipher the metabolic networks in </w:t>
      </w:r>
      <w:r w:rsidRPr="003532DF">
        <w:rPr>
          <w:i/>
        </w:rPr>
        <w:t>Pseudomonas</w:t>
      </w:r>
      <w:r w:rsidRPr="003532DF">
        <w:t xml:space="preserve"> species and evaluate their relevance in optimizing biocatalytic platforms.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Mendoza-Torres, E., Cruz-Catañeda, J., Negrón-Mendoza, A., Heredia, A., </w:t>
      </w:r>
      <w:r w:rsidR="00616347">
        <w:t xml:space="preserve">2020. </w:t>
      </w:r>
      <w:r w:rsidRPr="003532DF">
        <w:t>Computer and experimental simulation of alloxazine synthesis from gamma irradiation of amino acids on Iceland spar: A prebiotic chemistry perspective. Journal of Molecular Evolution 88, 284-291.</w:t>
      </w:r>
    </w:p>
    <w:p w:rsidR="00DB42FE" w:rsidRPr="003532DF" w:rsidRDefault="00DB42FE" w:rsidP="00616347">
      <w:pPr>
        <w:pStyle w:val="EndNoteBibliography"/>
        <w:ind w:left="360"/>
      </w:pPr>
      <w:r w:rsidRPr="003532DF">
        <w:t>https://doi.org/10.1007/s00239-020-09933-5</w:t>
      </w:r>
    </w:p>
    <w:p w:rsidR="00DB42FE" w:rsidRPr="003532DF" w:rsidRDefault="00DB42FE" w:rsidP="00616347">
      <w:pPr>
        <w:pStyle w:val="EndNoteBibliography"/>
        <w:spacing w:after="0"/>
        <w:ind w:left="360"/>
      </w:pPr>
      <w:r w:rsidRPr="003532DF">
        <w:t>On ancient Earth, environmental conditions favored prebiotic chemical reactions. In the Archean, some molecules with conjugated rings might have been synthesized, displaying structural stability in the Archean in the presence of ionizing radiation and hydration–dehydration events. Additionally, it is suggested that on ancient Earth, calcite was a common mineral promoting organic compound synthesis. In the present work a study of the interaction of amino acid mixtures with the (104) surface of calcite is presented. Our preliminary results show the abiotic synthesis of alloxazine (a flavin with relevant photochemical properties). Computer simulations were performed in HyperChem 8.0.1. by means of MM+ molecular mechanics and PM3 semi-empirical methods, in 27 possible amino acid trimers of alanine, glycine and lysine. Alloxazine formation is possible by the gamma irradiation of amino acids. The computer simulations show that trimers GGG and GGA promote the further transformation from diketopiperazines (DKP’s) and KGK to alloxazine. The computer simulations with free radicals are not stable when alloxazine is interacting with the calcite surface. Experiments in anoxygenic environments with hydration–dehydration events in gamma irradiated samples allow the abiotic formation of flavins, DKP’s and a heterocycle compound with possible relevance in prebiotic chemistry.</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Ménez, B., </w:t>
      </w:r>
      <w:r w:rsidR="00616347">
        <w:t xml:space="preserve">2020. </w:t>
      </w:r>
      <w:r w:rsidRPr="003532DF">
        <w:t>Abiotic hydrogen and methane: Fuels for life. Elements 16, 39-46.</w:t>
      </w:r>
    </w:p>
    <w:p w:rsidR="00DB42FE" w:rsidRPr="003532DF" w:rsidRDefault="00DB42FE" w:rsidP="00616347">
      <w:pPr>
        <w:pStyle w:val="EndNoteBibliography"/>
        <w:ind w:left="360"/>
      </w:pPr>
      <w:r w:rsidRPr="003532DF">
        <w:t>https://doi.org/10.2138/gselements.16.1.39</w:t>
      </w:r>
    </w:p>
    <w:p w:rsidR="00DB42FE" w:rsidRPr="003532DF" w:rsidRDefault="00DB42FE" w:rsidP="00616347">
      <w:pPr>
        <w:pStyle w:val="EndNoteBibliography"/>
        <w:spacing w:after="0"/>
        <w:ind w:left="360"/>
      </w:pPr>
      <w:r w:rsidRPr="003532DF">
        <w:t xml:space="preserve">Geologically produced (abiotic) molecular hydrogen and methane could be widely utilized by microbial communities in surface and subsurface environments. These microbial communities can, </w:t>
      </w:r>
      <w:r w:rsidRPr="003532DF">
        <w:lastRenderedPageBreak/>
        <w:t>therefore, have a potentially significant impact on the net emissions of H</w:t>
      </w:r>
      <w:r w:rsidRPr="003532DF">
        <w:rPr>
          <w:vertAlign w:val="subscript"/>
        </w:rPr>
        <w:t>2</w:t>
      </w:r>
      <w:r w:rsidRPr="003532DF">
        <w:t xml:space="preserve"> and CH</w:t>
      </w:r>
      <w:r w:rsidRPr="003532DF">
        <w:rPr>
          <w:vertAlign w:val="subscript"/>
        </w:rPr>
        <w:t>4</w:t>
      </w:r>
      <w:r w:rsidRPr="003532DF">
        <w:t xml:space="preserve"> to Earth’s ocean and atmosphere. Abiotic H</w:t>
      </w:r>
      <w:r w:rsidRPr="003532DF">
        <w:rPr>
          <w:vertAlign w:val="subscript"/>
        </w:rPr>
        <w:t>2</w:t>
      </w:r>
      <w:r w:rsidRPr="003532DF">
        <w:t xml:space="preserve"> and CH</w:t>
      </w:r>
      <w:r w:rsidRPr="003532DF">
        <w:rPr>
          <w:vertAlign w:val="subscript"/>
        </w:rPr>
        <w:t>4</w:t>
      </w:r>
      <w:r w:rsidRPr="003532DF">
        <w:t xml:space="preserve"> could enable microbial communities to exist in rock-hosted environments and hydrothermal systems with little or no input from photosynthetic carbon fixation, making these communities potential analogs for the earliest metabolisms on Earth (or other planetary bodies). The possible dependence of rock-hosted ecosystems on H</w:t>
      </w:r>
      <w:r w:rsidRPr="003532DF">
        <w:rPr>
          <w:vertAlign w:val="subscript"/>
        </w:rPr>
        <w:t>2</w:t>
      </w:r>
      <w:r w:rsidRPr="003532DF">
        <w:t xml:space="preserve"> and CH</w:t>
      </w:r>
      <w:r w:rsidRPr="003532DF">
        <w:rPr>
          <w:vertAlign w:val="subscript"/>
        </w:rPr>
        <w:t>4</w:t>
      </w:r>
      <w:r w:rsidRPr="003532DF">
        <w:t xml:space="preserve"> should factor into current and future plans for engineering the subsurface for storage of these compounds as energy fuels.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Meyer, M.M., </w:t>
      </w:r>
      <w:r w:rsidR="00616347">
        <w:t xml:space="preserve">2020. </w:t>
      </w:r>
      <w:r w:rsidRPr="003532DF">
        <w:t>Debating tRNA origins. Journal of Molecular Evolution 88, 227-227.</w:t>
      </w:r>
    </w:p>
    <w:p w:rsidR="00DB42FE" w:rsidRPr="003532DF" w:rsidRDefault="00DB42FE" w:rsidP="00616347">
      <w:pPr>
        <w:pStyle w:val="EndNoteBibliography"/>
        <w:ind w:left="360"/>
      </w:pPr>
      <w:r w:rsidRPr="003532DF">
        <w:t>https://doi.org/10.1007/s00239-020-09931-7</w:t>
      </w:r>
    </w:p>
    <w:p w:rsidR="00DB42FE" w:rsidRPr="003532DF" w:rsidRDefault="00DB42FE" w:rsidP="00616347">
      <w:pPr>
        <w:pStyle w:val="EndNoteBibliography"/>
        <w:spacing w:after="0"/>
        <w:ind w:left="360"/>
      </w:pPr>
      <w:r w:rsidRPr="003532DF">
        <w:t>The tRNA is a critical component in all modern translation systems as well as an important intermediate in models of early protein coding systems. In the following works, proponents for each of the major hypotheses for tRNA origin and evolution engage in discussion of the merits for each model.</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Mi, J., Ye, D., Dai, Y., Xie, H., Wu, D., Sun, H., Guo, Y., Fang, W., </w:t>
      </w:r>
      <w:r w:rsidR="00616347">
        <w:t xml:space="preserve">2020. </w:t>
      </w:r>
      <w:r w:rsidRPr="003532DF">
        <w:t>Strategically designed macromolecules as additives for high energy-density hydrocarbon fuels. Fuel 270, 117433.</w:t>
      </w:r>
    </w:p>
    <w:p w:rsidR="00DB42FE" w:rsidRPr="003532DF" w:rsidRDefault="00DB42FE" w:rsidP="00616347">
      <w:pPr>
        <w:pStyle w:val="EndNoteBibliography"/>
        <w:ind w:left="360"/>
      </w:pPr>
      <w:r w:rsidRPr="003532DF">
        <w:t>http://www.sciencedirect.com/science/article/pii/S0016236120304282</w:t>
      </w:r>
    </w:p>
    <w:p w:rsidR="00DB42FE" w:rsidRPr="003532DF" w:rsidRDefault="00DB42FE" w:rsidP="00616347">
      <w:pPr>
        <w:pStyle w:val="EndNoteBibliography"/>
        <w:spacing w:after="0"/>
        <w:ind w:left="360"/>
      </w:pPr>
      <w:r w:rsidRPr="003532DF">
        <w:t>To improve oxidative stability and heat sink of hydrocarbon fuels, a series of versatile macromolecular additives, BHPEI and CBHPEI, were synthesized by modification of hyperbranched poly(ethyleneimine) (HPEI). These macromolecules were used as circumstance-dependent additives in JP-10, a high energy–density hydrocarbon fuel. Each strategically designed macromolecule serves not only as a radical scavenger to improve the thermal-oxidative stability of hydrocarbon fuels at relatively low temperature, but also as a cracking initiator for heat sink enhancement as the temperature rises. According to the ASTM E1858, with the addition of BHPEI-10K at 500 ppm, the oxidation induction time of JP-10 under 175 °C could increase from 9.3 min to 14.8 min. The insoluble deposits could be reduced by 73% with the addition of 500 ppm BHPEI-10K according to accelerated oxidation tests. The superior antioxidation capability of macromolecular antioxidants were further elucidated by density functional theory (DFT) calculations. Furthermore, the BHPEI-10K performed decently as a macromolecular initiator for supercritical cracking of JP-10, with a dosage of 0.1 wt%, the conversion of JP-10 at 675 °C can be elevated from 16.4% to 33.4% and the corresponding heat sink can be improved from 1.98 MJ/kg to 2.15 MJ/kg.</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Mikhael, A., Jurcic, K., Schneider, C., Karr, D., Fisher, G.L., Fridgen, T.D., Diego-Taboada, A., Georghiou, P.E., Mackenzie, G., Banoub, J., </w:t>
      </w:r>
      <w:r w:rsidR="00616347">
        <w:t xml:space="preserve">2020. </w:t>
      </w:r>
      <w:r w:rsidRPr="003532DF">
        <w:t>Demystifying and unravelling the molecular structure of the biopolymer sporopollenin. Rapid Communications in Mass Spectrometry 34, e8740.</w:t>
      </w:r>
    </w:p>
    <w:p w:rsidR="00DB42FE" w:rsidRPr="003532DF" w:rsidRDefault="00DB42FE" w:rsidP="00616347">
      <w:pPr>
        <w:pStyle w:val="EndNoteBibliography"/>
        <w:ind w:left="360"/>
      </w:pPr>
      <w:r w:rsidRPr="003532DF">
        <w:t>https://doi.org/10.1002/rcm.8740</w:t>
      </w:r>
    </w:p>
    <w:p w:rsidR="00DB42FE" w:rsidRPr="003532DF" w:rsidRDefault="00DB42FE" w:rsidP="00616347">
      <w:pPr>
        <w:pStyle w:val="EndNoteBibliography"/>
        <w:ind w:left="360"/>
      </w:pPr>
      <w:r w:rsidRPr="003532DF">
        <w:t xml:space="preserve">Rationale: We report the unsolved molecular structure of the complex biopolymer sporopollenin exine extracted from </w:t>
      </w:r>
      <w:r w:rsidRPr="003532DF">
        <w:rPr>
          <w:i/>
        </w:rPr>
        <w:t>Lycopodium clavatum</w:t>
      </w:r>
      <w:r w:rsidRPr="003532DF">
        <w:t xml:space="preserve"> pollen grains. </w:t>
      </w:r>
    </w:p>
    <w:p w:rsidR="00DB42FE" w:rsidRPr="003532DF" w:rsidRDefault="00DB42FE" w:rsidP="00616347">
      <w:pPr>
        <w:pStyle w:val="EndNoteBibliography"/>
        <w:ind w:left="360"/>
      </w:pPr>
      <w:r w:rsidRPr="003532DF">
        <w:lastRenderedPageBreak/>
        <w:t xml:space="preserve">Methods: TOF‐SIMS and CID‐MS/MS, MALDI‐TOF‐MS and CID‐TOF/TOF‐MS/MS were used for the analysis of this complex biopolymer sporopollenin exine extracted from </w:t>
      </w:r>
      <w:r w:rsidRPr="003532DF">
        <w:rPr>
          <w:i/>
        </w:rPr>
        <w:t>Lycopodium clavatum pollen grains</w:t>
      </w:r>
      <w:r w:rsidRPr="003532DF">
        <w:t xml:space="preserve">. Solid‐state </w:t>
      </w:r>
      <w:r w:rsidRPr="003532DF">
        <w:rPr>
          <w:vertAlign w:val="superscript"/>
        </w:rPr>
        <w:t>1</w:t>
      </w:r>
      <w:r w:rsidRPr="003532DF">
        <w:t xml:space="preserve">H‐ and </w:t>
      </w:r>
      <w:r w:rsidRPr="003532DF">
        <w:rPr>
          <w:vertAlign w:val="superscript"/>
        </w:rPr>
        <w:t>13</w:t>
      </w:r>
      <w:r w:rsidRPr="003532DF">
        <w:t xml:space="preserve">C‐NMR, 2D </w:t>
      </w:r>
      <w:r w:rsidRPr="003532DF">
        <w:rPr>
          <w:vertAlign w:val="superscript"/>
        </w:rPr>
        <w:t>1</w:t>
      </w:r>
      <w:r w:rsidRPr="003532DF">
        <w:t>H‐</w:t>
      </w:r>
      <w:r w:rsidRPr="003532DF">
        <w:rPr>
          <w:vertAlign w:val="superscript"/>
        </w:rPr>
        <w:t>1</w:t>
      </w:r>
      <w:r w:rsidRPr="003532DF">
        <w:t xml:space="preserve">H NOESY, Rotor‐synchronized </w:t>
      </w:r>
      <w:r w:rsidRPr="003532DF">
        <w:rPr>
          <w:vertAlign w:val="superscript"/>
        </w:rPr>
        <w:t>13</w:t>
      </w:r>
      <w:r w:rsidRPr="003532DF">
        <w:t>C{</w:t>
      </w:r>
      <w:r w:rsidRPr="003532DF">
        <w:rPr>
          <w:vertAlign w:val="superscript"/>
        </w:rPr>
        <w:t>1</w:t>
      </w:r>
      <w:r w:rsidRPr="003532DF">
        <w:t xml:space="preserve">H} HSQC, and </w:t>
      </w:r>
      <w:r w:rsidRPr="003532DF">
        <w:rPr>
          <w:vertAlign w:val="superscript"/>
        </w:rPr>
        <w:t>13</w:t>
      </w:r>
      <w:r w:rsidRPr="003532DF">
        <w:t>C{</w:t>
      </w:r>
      <w:r w:rsidRPr="003532DF">
        <w:rPr>
          <w:vertAlign w:val="superscript"/>
        </w:rPr>
        <w:t>1</w:t>
      </w:r>
      <w:r w:rsidRPr="003532DF">
        <w:t xml:space="preserve">H} multi CP‐MAS NMR experiments were used to confirm the structural assigments revealed by MS and MS/MS studies. Finally, high‐resolution XPS was used to check for the presence of aromatic components in sporopollenin. </w:t>
      </w:r>
    </w:p>
    <w:p w:rsidR="00DB42FE" w:rsidRPr="003532DF" w:rsidRDefault="00DB42FE" w:rsidP="00616347">
      <w:pPr>
        <w:pStyle w:val="EndNoteBibliography"/>
        <w:ind w:left="360"/>
      </w:pPr>
      <w:r w:rsidRPr="003532DF">
        <w:t>Results: The combined MS and NMR analyses showed that sporopollenin contained poly(hydroxy acid) dendrimer‐like networks with glycerol as a core unit, which accounted for the sporopollenin empirical formula. In addition, these analyses showed that the hydroxy acid monomers forming this network contained a β‐diketone moiety. Moreover, MALDI‐TOF‐MS and MS/MS allowed us to identify a unique macrocyclic oligomeric unit composed of polyhydroxylated tetraketide‐like monomers. Lastly, high‐resolution X‐ray photoelectron spectroscopy (HR‐XPS) showed the absence of aromaticity in sporopollenin.</w:t>
      </w:r>
    </w:p>
    <w:p w:rsidR="00DB42FE" w:rsidRPr="003532DF" w:rsidRDefault="00DB42FE" w:rsidP="00616347">
      <w:pPr>
        <w:pStyle w:val="EndNoteBibliography"/>
        <w:spacing w:after="0"/>
        <w:ind w:left="360"/>
      </w:pPr>
      <w:r w:rsidRPr="003532DF">
        <w:t xml:space="preserve">Conclusions: We report for the first time the two main building units that form the </w:t>
      </w:r>
      <w:r w:rsidRPr="003532DF">
        <w:rPr>
          <w:i/>
        </w:rPr>
        <w:t>Lycopodium clavatum</w:t>
      </w:r>
      <w:r w:rsidRPr="003532DF">
        <w:t xml:space="preserve"> sporopollenin exine. The first building unit is a macrocyclic oligomer and/or polymer composed of polyhydroxylated tetraketide‐like monomeric units, which represents the main rigid backbone of the sporopollenin biopolymer. The second building unit is the poly(hydroxy acid) network in which the hydroxyl end groups can be covalently attached by ether links to the hydroxylated macrocyclic backbone to form the sporopollenin biopolymer, a spherical dendrimer. Such spherical dendrimers are a typical type of microcapsule that have been used for drug delivery applications. Finally, HR‐XPS indicated the total absence of aromaticity in the sporopollenin exine. </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Milesi, V.P., Debure, M., Marty, N.C.M., Capano, M., Jézéquel, D., Steefel, C., Rouchon, V., Albéric, P., Bard, E., Sarazin, G., Guyot, F., Virgone, A., Gaucher, É.C., Ader, M., </w:t>
      </w:r>
      <w:r w:rsidR="00616347">
        <w:t xml:space="preserve">2020. </w:t>
      </w:r>
      <w:r w:rsidRPr="003532DF">
        <w:t>Early diagenesis of lacustrine carbonates in volcanic settings: The role of magmatic CO</w:t>
      </w:r>
      <w:r w:rsidRPr="003532DF">
        <w:rPr>
          <w:vertAlign w:val="subscript"/>
        </w:rPr>
        <w:t>2</w:t>
      </w:r>
      <w:r w:rsidRPr="003532DF">
        <w:t xml:space="preserve"> (Lake Dziani Dzaha, Mayotte, Indian Ocean). ACS Earth and Space Chemistry 4, 363-378.</w:t>
      </w:r>
    </w:p>
    <w:p w:rsidR="00DB42FE" w:rsidRPr="003532DF" w:rsidRDefault="00DB42FE" w:rsidP="00616347">
      <w:pPr>
        <w:pStyle w:val="EndNoteBibliography"/>
        <w:ind w:left="360"/>
      </w:pPr>
      <w:r w:rsidRPr="003532DF">
        <w:t>https://doi.org/10.1021/acsearthspacechem.9b00279</w:t>
      </w:r>
    </w:p>
    <w:p w:rsidR="00DB42FE" w:rsidRPr="003532DF" w:rsidRDefault="00DB42FE" w:rsidP="00616347">
      <w:pPr>
        <w:pStyle w:val="EndNoteBibliography"/>
        <w:spacing w:after="0"/>
        <w:ind w:left="360"/>
      </w:pPr>
      <w:r w:rsidRPr="003532DF">
        <w:t xml:space="preserve">Lacustrine carbonates formed in rift settings are increasingly studied not only as archives of Earth chemical and climatic history but also as potential hydrocarbon source rocks and/or reservoirs. The role of magmatic gases in their formation and diagenetic evolution, hence in their reservoir properties, remains unclear. We studied the first meter of carbonate sediment of the Dziani Dzaha volcanic crater lake (Mayotte Island) and developed a reactive-transport model with CrunchFlow software that allows the quantification of diagenetic reactions by considering depth-dependent burial rates and sediment compaction. The model is constrained by the previously documented solid-phase compositions of the lake sediment and new data consisting of </w:t>
      </w:r>
      <w:r w:rsidRPr="003532DF">
        <w:rPr>
          <w:vertAlign w:val="superscript"/>
        </w:rPr>
        <w:t>14</w:t>
      </w:r>
      <w:r w:rsidRPr="003532DF">
        <w:t>C dating of plant macroremains to characterize the sediment age model, chemical composition of sediment pore waters, and chemical and isotopic composition of gases dissolved and bubbling through the lake. These new data reveal a massive magmatic CO</w:t>
      </w:r>
      <w:r w:rsidRPr="003532DF">
        <w:rPr>
          <w:vertAlign w:val="subscript"/>
        </w:rPr>
        <w:t>2</w:t>
      </w:r>
      <w:r w:rsidRPr="003532DF">
        <w:t xml:space="preserve"> contribution to the dissolved inorganic carbon of the lake, which fuels the primary productivity and carbonate formation. A pH value of 9 in the surface sediment pore waters induces supersaturation relative to aragonite, hydromagnesite, and saponite. At 1 m depth in the sediment, our model predicts that magmatic CO</w:t>
      </w:r>
      <w:r w:rsidRPr="003532DF">
        <w:rPr>
          <w:vertAlign w:val="subscript"/>
        </w:rPr>
        <w:t>2</w:t>
      </w:r>
      <w:r w:rsidRPr="003532DF">
        <w:t xml:space="preserve"> inflows and organic matter degradation account for 22 and 2 mol % dissolved inorganic carbon, respectively. The magmatic CO</w:t>
      </w:r>
      <w:r w:rsidRPr="003532DF">
        <w:rPr>
          <w:vertAlign w:val="subscript"/>
        </w:rPr>
        <w:t>2</w:t>
      </w:r>
      <w:r w:rsidRPr="003532DF">
        <w:t xml:space="preserve"> inflows result in a pH decrease at depth, leading to the destabilization of hydromagnesite, while saponite and aragonite remain stable. These results demonstrate the role of </w:t>
      </w:r>
      <w:r w:rsidRPr="003532DF">
        <w:lastRenderedPageBreak/>
        <w:t>magmatic CO</w:t>
      </w:r>
      <w:r w:rsidRPr="003532DF">
        <w:rPr>
          <w:vertAlign w:val="subscript"/>
        </w:rPr>
        <w:t>2</w:t>
      </w:r>
      <w:r w:rsidRPr="003532DF">
        <w:t xml:space="preserve"> in fueling carbonate production and controlling the diagenetic evolution of sediment mineralogy.</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Milkov, A.V., Schwietzke, S., Allen, G., Sherwood, O.A., Etiope, G., </w:t>
      </w:r>
      <w:r w:rsidR="00616347">
        <w:t xml:space="preserve">2020. </w:t>
      </w:r>
      <w:r w:rsidRPr="003532DF">
        <w:t>Using global isotopic data to constrain the role of shale gas production in recent increases in atmospheric methane. Scientific Reports 10, 4199.</w:t>
      </w:r>
    </w:p>
    <w:p w:rsidR="00DB42FE" w:rsidRPr="003532DF" w:rsidRDefault="00DB42FE" w:rsidP="00616347">
      <w:pPr>
        <w:pStyle w:val="EndNoteBibliography"/>
        <w:ind w:left="360"/>
      </w:pPr>
      <w:r w:rsidRPr="003532DF">
        <w:t>https://doi.org/10.1038/s41598-020-61035-w</w:t>
      </w:r>
    </w:p>
    <w:p w:rsidR="00DB42FE" w:rsidRPr="003532DF" w:rsidRDefault="00DB42FE" w:rsidP="00616347">
      <w:pPr>
        <w:pStyle w:val="EndNoteBibliography"/>
        <w:spacing w:after="0"/>
        <w:ind w:left="360"/>
      </w:pPr>
      <w:r w:rsidRPr="003532DF">
        <w:t>The accelerated increase in global methane (CH</w:t>
      </w:r>
      <w:r w:rsidRPr="003532DF">
        <w:rPr>
          <w:vertAlign w:val="subscript"/>
        </w:rPr>
        <w:t>4</w:t>
      </w:r>
      <w:r w:rsidRPr="003532DF">
        <w:t xml:space="preserve">) in the atmosphere, accompanied by a decrease in its </w:t>
      </w:r>
      <w:r w:rsidRPr="003532DF">
        <w:rPr>
          <w:vertAlign w:val="superscript"/>
        </w:rPr>
        <w:t>13</w:t>
      </w:r>
      <w:r w:rsidRPr="003532DF">
        <w:t>C/</w:t>
      </w:r>
      <w:r w:rsidRPr="003532DF">
        <w:rPr>
          <w:vertAlign w:val="superscript"/>
        </w:rPr>
        <w:t>12</w:t>
      </w:r>
      <w:r w:rsidRPr="003532DF">
        <w:t>C isotopic ratio (</w:t>
      </w:r>
      <w:r w:rsidRPr="003532DF">
        <w:rPr>
          <w:i/>
        </w:rPr>
        <w:t>δ</w:t>
      </w:r>
      <w:r w:rsidRPr="003532DF">
        <w:rPr>
          <w:vertAlign w:val="superscript"/>
        </w:rPr>
        <w:t>13</w:t>
      </w:r>
      <w:r w:rsidRPr="003532DF">
        <w:t>C</w:t>
      </w:r>
      <w:r w:rsidRPr="003532DF">
        <w:rPr>
          <w:vertAlign w:val="subscript"/>
        </w:rPr>
        <w:t>CH4</w:t>
      </w:r>
      <w:r w:rsidRPr="003532DF">
        <w:t xml:space="preserve">) from −47.1‰ to −47.3‰ observed since 2008, has been attributed to increased emissions from wetlands and cattle, as well as from shale gas and shale oil developments. To date both explanations have relied on poorly constrained </w:t>
      </w:r>
      <w:r w:rsidRPr="003532DF">
        <w:rPr>
          <w:i/>
        </w:rPr>
        <w:t>δ</w:t>
      </w:r>
      <w:r w:rsidRPr="003532DF">
        <w:rPr>
          <w:vertAlign w:val="superscript"/>
        </w:rPr>
        <w:t>13</w:t>
      </w:r>
      <w:r w:rsidRPr="003532DF">
        <w:t>C</w:t>
      </w:r>
      <w:r w:rsidRPr="003532DF">
        <w:rPr>
          <w:vertAlign w:val="subscript"/>
        </w:rPr>
        <w:t>CH4</w:t>
      </w:r>
      <w:r w:rsidRPr="003532DF">
        <w:t xml:space="preserve"> source signatures. We use a dataset of </w:t>
      </w:r>
      <w:r w:rsidRPr="003532DF">
        <w:rPr>
          <w:i/>
        </w:rPr>
        <w:t>δ</w:t>
      </w:r>
      <w:r w:rsidRPr="003532DF">
        <w:rPr>
          <w:vertAlign w:val="superscript"/>
        </w:rPr>
        <w:t>13</w:t>
      </w:r>
      <w:r w:rsidRPr="003532DF">
        <w:t>C</w:t>
      </w:r>
      <w:r w:rsidRPr="003532DF">
        <w:rPr>
          <w:vertAlign w:val="subscript"/>
        </w:rPr>
        <w:t>CH4</w:t>
      </w:r>
      <w:r w:rsidRPr="003532DF">
        <w:t xml:space="preserve"> from &gt;1600 produced shale gas samples from regions that account for &gt;97% of global shale gas production to constrain the contribution of shale gas emissions to observed atmospheric increases in the global methane burden. We find that US shale gas extracted since 2008 has volume-weighted-average </w:t>
      </w:r>
      <w:r w:rsidRPr="003532DF">
        <w:rPr>
          <w:i/>
        </w:rPr>
        <w:t>δ</w:t>
      </w:r>
      <w:r w:rsidRPr="003532DF">
        <w:rPr>
          <w:vertAlign w:val="superscript"/>
        </w:rPr>
        <w:t>13</w:t>
      </w:r>
      <w:r w:rsidRPr="003532DF">
        <w:t>C</w:t>
      </w:r>
      <w:r w:rsidRPr="003532DF">
        <w:rPr>
          <w:vertAlign w:val="subscript"/>
        </w:rPr>
        <w:t>CH4</w:t>
      </w:r>
      <w:r w:rsidRPr="003532DF">
        <w:t xml:space="preserve"> of −39.6‰. The average </w:t>
      </w:r>
      <w:r w:rsidRPr="003532DF">
        <w:rPr>
          <w:i/>
        </w:rPr>
        <w:t>δ</w:t>
      </w:r>
      <w:r w:rsidRPr="003532DF">
        <w:rPr>
          <w:vertAlign w:val="superscript"/>
        </w:rPr>
        <w:t>13</w:t>
      </w:r>
      <w:r w:rsidRPr="003532DF">
        <w:t>C</w:t>
      </w:r>
      <w:r w:rsidRPr="003532DF">
        <w:rPr>
          <w:vertAlign w:val="subscript"/>
        </w:rPr>
        <w:t>CH4</w:t>
      </w:r>
      <w:r w:rsidRPr="003532DF">
        <w:t xml:space="preserve"> weighted by US basin-level measured emissions in 2015 was −41.8‰. Therefore, emission increases from shale gas would contribute to an opposite atmospheric </w:t>
      </w:r>
      <w:r w:rsidRPr="003532DF">
        <w:rPr>
          <w:i/>
        </w:rPr>
        <w:t>δ</w:t>
      </w:r>
      <w:r w:rsidRPr="003532DF">
        <w:rPr>
          <w:vertAlign w:val="superscript"/>
        </w:rPr>
        <w:t>13</w:t>
      </w:r>
      <w:r w:rsidRPr="003532DF">
        <w:t>C</w:t>
      </w:r>
      <w:r w:rsidRPr="003532DF">
        <w:rPr>
          <w:vertAlign w:val="subscript"/>
        </w:rPr>
        <w:t>CH4</w:t>
      </w:r>
      <w:r w:rsidRPr="003532DF">
        <w:t xml:space="preserve"> signal in the observed decrease since 2008 (while noting that the global isotopic trend is the net of all dynamic source and sink processes). This observation strongly suggests that changing emissions of other (isotopically-lighter) CH</w:t>
      </w:r>
      <w:r w:rsidRPr="003532DF">
        <w:rPr>
          <w:vertAlign w:val="subscript"/>
        </w:rPr>
        <w:t>4</w:t>
      </w:r>
      <w:r w:rsidRPr="003532DF">
        <w:t xml:space="preserve"> source terms is dominating the increase in global CH</w:t>
      </w:r>
      <w:r w:rsidRPr="003532DF">
        <w:rPr>
          <w:vertAlign w:val="subscript"/>
        </w:rPr>
        <w:t>4</w:t>
      </w:r>
      <w:r w:rsidRPr="003532DF">
        <w:t xml:space="preserve"> emissions. Although production of shale gas has increased rapidly since 2008, and CH</w:t>
      </w:r>
      <w:r w:rsidRPr="003532DF">
        <w:rPr>
          <w:vertAlign w:val="subscript"/>
        </w:rPr>
        <w:t>4</w:t>
      </w:r>
      <w:r w:rsidRPr="003532DF">
        <w:t xml:space="preserve"> emissions associated with this increased production are expected to have increased overall in that timeframe, the simultaneously-observed increase in global atmospheric CH</w:t>
      </w:r>
      <w:r w:rsidRPr="003532DF">
        <w:rPr>
          <w:vertAlign w:val="subscript"/>
        </w:rPr>
        <w:t>4</w:t>
      </w:r>
      <w:r w:rsidRPr="003532DF">
        <w:t xml:space="preserve"> is not dominated by emissions from shale gas and shale oil developments.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Min, X., Hua, H., Liu, L., Sun, B., Cui, Z., Dai, Q., </w:t>
      </w:r>
      <w:r w:rsidR="00616347">
        <w:t xml:space="preserve">2020. </w:t>
      </w:r>
      <w:r w:rsidRPr="003532DF">
        <w:t>A diverse calcified cyanobacteria assemblage in the latest Ediacaran. Precambrian Research 342, 105669.</w:t>
      </w:r>
    </w:p>
    <w:p w:rsidR="00DB42FE" w:rsidRPr="003532DF" w:rsidRDefault="00DB42FE" w:rsidP="00616347">
      <w:pPr>
        <w:pStyle w:val="EndNoteBibliography"/>
        <w:ind w:left="360"/>
      </w:pPr>
      <w:r w:rsidRPr="003532DF">
        <w:t>http://www.sciencedirect.com/science/article/pii/S0301926819305881</w:t>
      </w:r>
    </w:p>
    <w:p w:rsidR="00DB42FE" w:rsidRPr="003532DF" w:rsidRDefault="00DB42FE" w:rsidP="00616347">
      <w:pPr>
        <w:pStyle w:val="EndNoteBibliography"/>
        <w:spacing w:after="0"/>
        <w:ind w:left="360"/>
      </w:pPr>
      <w:r w:rsidRPr="003532DF">
        <w:t xml:space="preserve">A three-dimensionally preserved phosphatized cyanobacterial fossil assemblage tentatively identified as a distinct calcified cyanobacterial combination of oscillatorialeans and rivulariacean is recognized in the latest Ediacaran in the southern Shaanxi Province, China based on the morphological and preservation modes. Oscillatorialean cyanobacteria herein contain 3 genera which are </w:t>
      </w:r>
      <w:r w:rsidRPr="003532DF">
        <w:rPr>
          <w:i/>
        </w:rPr>
        <w:t>Girvanella</w:t>
      </w:r>
      <w:r w:rsidRPr="003532DF">
        <w:t xml:space="preserve">, </w:t>
      </w:r>
      <w:r w:rsidRPr="003532DF">
        <w:rPr>
          <w:i/>
        </w:rPr>
        <w:t>Obruchevella</w:t>
      </w:r>
      <w:r w:rsidRPr="003532DF">
        <w:t xml:space="preserve"> and </w:t>
      </w:r>
      <w:r w:rsidRPr="003532DF">
        <w:rPr>
          <w:i/>
        </w:rPr>
        <w:t>Subtifloria</w:t>
      </w:r>
      <w:r w:rsidRPr="003532DF">
        <w:t xml:space="preserve"> with thin-walled tubes tangled, coiled or aligned. A kind of fan-shaped fossils composed of filaments with tapered trichomes and pseudo-branches, </w:t>
      </w:r>
      <w:r w:rsidRPr="003532DF">
        <w:rPr>
          <w:i/>
        </w:rPr>
        <w:t>Cambricodium</w:t>
      </w:r>
      <w:r w:rsidRPr="003532DF">
        <w:t xml:space="preserve">, is clarified as calcified rivulariacean cyanobacteria. Prosperous calcified cyanobacteria co-occurring with the earliest mineralized skeletal tubular fossils </w:t>
      </w:r>
      <w:r w:rsidRPr="003532DF">
        <w:rPr>
          <w:i/>
        </w:rPr>
        <w:t>Cloudina</w:t>
      </w:r>
      <w:r w:rsidRPr="003532DF">
        <w:t xml:space="preserve"> and </w:t>
      </w:r>
      <w:r w:rsidRPr="003532DF">
        <w:rPr>
          <w:i/>
        </w:rPr>
        <w:t>Sinotubulites</w:t>
      </w:r>
      <w:r w:rsidRPr="003532DF">
        <w:t>. In addition to contributing new morphological and preservation information, the discovery of these cyanobacteria perhaps strengthens the case for prosperity in cyanobacterial calcification in the terminal Neoproterozoic.</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Mohammadi, M., Zirrahi, M., Hassanzadeh, H., </w:t>
      </w:r>
      <w:r w:rsidR="00616347">
        <w:t xml:space="preserve">2020. </w:t>
      </w:r>
      <w:r w:rsidRPr="003532DF">
        <w:t>Adsorption kinetics of asphaltenes at the heptol–water interface. Energy &amp; Fuels 34, 3144-3152.</w:t>
      </w:r>
    </w:p>
    <w:p w:rsidR="00DB42FE" w:rsidRPr="003532DF" w:rsidRDefault="00DB42FE" w:rsidP="00616347">
      <w:pPr>
        <w:pStyle w:val="EndNoteBibliography"/>
        <w:ind w:left="360"/>
      </w:pPr>
      <w:r w:rsidRPr="003532DF">
        <w:t>https://doi.org/10.1021/acs.energyfuels.0c00019</w:t>
      </w:r>
    </w:p>
    <w:p w:rsidR="00DB42FE" w:rsidRPr="003532DF" w:rsidRDefault="00DB42FE" w:rsidP="00616347">
      <w:pPr>
        <w:pStyle w:val="EndNoteBibliography"/>
        <w:spacing w:after="0"/>
        <w:ind w:left="360"/>
      </w:pPr>
      <w:r w:rsidRPr="003532DF">
        <w:lastRenderedPageBreak/>
        <w:t>The dynamic pendant drop method was employed to better understand the adsorption kinetics at the oil/water interface. Various volume ratios of n-heptane/toluene (heptol) have been chosen as solvents to represent the model of crude oil systems. The results show that an increase in the asphaltene concentration reduces the interfacial tension and this reduction is much more pronounced at higher fractions of n-heptane. The Ward–Tordai short-time model was used to estimate the diffusion coefficient of asphaltenes for dilute solutions of asphaltenes in heptol (up to 0.01 wt %). The results show that the asphaltene adsorbed as monomers onto the interface and the bulk nanoaggregates do not contribute to the adsorption process. Furthermore, the results reveal that the asphaltene diffusion coefficient decreases with increasing its concentration and decreasing solvent aliphaticity. The Langmuir adsorption isotherm was used to study the asphaltene behavior at the oil/water interface and to predict the parameters of adsorption kinetics. It was shown that asphaltenes were adsorbed as monomers onto the interface. The results show that at higher n-heptane fractions, more asphaltene molecules are adsorbed onto the interface. A higher concentration of n-heptane in solvent results in faster and more asphaltene adsorption on the oil/water interface leading to lower interfacial tension and thus promotes emulsification. These findings improve our understanding of adsorption kinetics of asphaltenes at the oil/water interface and find applications in oil/water separation and solvent-aided recovery of heavy oil and bitumen.</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Mohammed, S., Gadikota, G., </w:t>
      </w:r>
      <w:r w:rsidR="00616347">
        <w:t xml:space="preserve">2020. </w:t>
      </w:r>
      <w:r w:rsidRPr="003532DF">
        <w:t>Exploring the role of inorganic and organic interfaces on CO</w:t>
      </w:r>
      <w:r w:rsidRPr="003532DF">
        <w:rPr>
          <w:vertAlign w:val="subscript"/>
        </w:rPr>
        <w:t>2</w:t>
      </w:r>
      <w:r w:rsidRPr="003532DF">
        <w:t xml:space="preserve"> and CH</w:t>
      </w:r>
      <w:r w:rsidRPr="003532DF">
        <w:rPr>
          <w:vertAlign w:val="subscript"/>
        </w:rPr>
        <w:t>4</w:t>
      </w:r>
      <w:r w:rsidRPr="003532DF">
        <w:t xml:space="preserve"> partitioning: Case study of silica, illite, calcite, and kerogen nanopores on gas adsorption and nanoscale transport behaviors. Energy &amp; Fuels 34, 3578-3590.</w:t>
      </w:r>
    </w:p>
    <w:p w:rsidR="00DB42FE" w:rsidRPr="003532DF" w:rsidRDefault="00DB42FE" w:rsidP="00616347">
      <w:pPr>
        <w:pStyle w:val="EndNoteBibliography"/>
        <w:ind w:left="360"/>
      </w:pPr>
      <w:r w:rsidRPr="003532DF">
        <w:t>https://doi.org/10.1021/acs.energyfuels.0c00052</w:t>
      </w:r>
    </w:p>
    <w:p w:rsidR="00DB42FE" w:rsidRPr="003532DF" w:rsidRDefault="00DB42FE" w:rsidP="00616347">
      <w:pPr>
        <w:pStyle w:val="EndNoteBibliography"/>
        <w:spacing w:after="0"/>
        <w:ind w:left="360"/>
      </w:pPr>
      <w:r w:rsidRPr="003532DF">
        <w:t>The adsorption, partitioning, and diffusion of CO</w:t>
      </w:r>
      <w:r w:rsidRPr="003532DF">
        <w:rPr>
          <w:vertAlign w:val="subscript"/>
        </w:rPr>
        <w:t>2</w:t>
      </w:r>
      <w:r w:rsidRPr="003532DF">
        <w:t xml:space="preserve"> and CH</w:t>
      </w:r>
      <w:r w:rsidRPr="003532DF">
        <w:rPr>
          <w:vertAlign w:val="subscript"/>
        </w:rPr>
        <w:t>4</w:t>
      </w:r>
      <w:r w:rsidRPr="003532DF">
        <w:t xml:space="preserve"> in organic–inorganic pores composed of kerogen with silica, illite, or calcite are studied using density functional theory and classical molecular dynamics simulations. The adsorption and partitioning behavior of CO</w:t>
      </w:r>
      <w:r w:rsidRPr="003532DF">
        <w:rPr>
          <w:vertAlign w:val="subscript"/>
        </w:rPr>
        <w:t>2</w:t>
      </w:r>
      <w:r w:rsidRPr="003532DF">
        <w:t xml:space="preserve"> and CH</w:t>
      </w:r>
      <w:r w:rsidRPr="003532DF">
        <w:rPr>
          <w:vertAlign w:val="subscript"/>
        </w:rPr>
        <w:t>4</w:t>
      </w:r>
      <w:r w:rsidRPr="003532DF">
        <w:t xml:space="preserve"> molecules is found to be a function of chemistry of the solid interface, pore size, and surface area. CO</w:t>
      </w:r>
      <w:r w:rsidRPr="003532DF">
        <w:rPr>
          <w:vertAlign w:val="subscript"/>
        </w:rPr>
        <w:t>2</w:t>
      </w:r>
      <w:r w:rsidRPr="003532DF">
        <w:t xml:space="preserve"> molecules are preferentially adsorbed compared to CH</w:t>
      </w:r>
      <w:r w:rsidRPr="003532DF">
        <w:rPr>
          <w:vertAlign w:val="subscript"/>
        </w:rPr>
        <w:t>4</w:t>
      </w:r>
      <w:r w:rsidRPr="003532DF">
        <w:t xml:space="preserve"> molecules on silica, illite, calcite, and kerogen surfaces due to significant contributions of electrostatic interactions with the atoms of the associated surfaces. CO</w:t>
      </w:r>
      <w:r w:rsidRPr="003532DF">
        <w:rPr>
          <w:vertAlign w:val="subscript"/>
        </w:rPr>
        <w:t>2</w:t>
      </w:r>
      <w:r w:rsidRPr="003532DF">
        <w:t xml:space="preserve"> and CH</w:t>
      </w:r>
      <w:r w:rsidRPr="003532DF">
        <w:rPr>
          <w:vertAlign w:val="subscript"/>
        </w:rPr>
        <w:t>4</w:t>
      </w:r>
      <w:r w:rsidRPr="003532DF">
        <w:t xml:space="preserve"> molecules display higher adsorption energy on calcite and silica compared to those on illite and kerogen because of enhanced interactions with the positively charged calcium ions on the calcite surface and the hydroxyl group (−OH) on the silica surface. Enhanced internal nanopores and the availability of adsorption active sites in illite and kerogen matrices aid in higher partitioning of the gas molecules into these pores. CO</w:t>
      </w:r>
      <w:r w:rsidRPr="003532DF">
        <w:rPr>
          <w:vertAlign w:val="subscript"/>
        </w:rPr>
        <w:t>2</w:t>
      </w:r>
      <w:r w:rsidRPr="003532DF">
        <w:t xml:space="preserve"> has a significant influence on the clustering and swelling of kerogen fragments compared to CH</w:t>
      </w:r>
      <w:r w:rsidRPr="003532DF">
        <w:rPr>
          <w:vertAlign w:val="subscript"/>
        </w:rPr>
        <w:t>4</w:t>
      </w:r>
      <w:r w:rsidRPr="003532DF">
        <w:t>. Higher CO</w:t>
      </w:r>
      <w:r w:rsidRPr="003532DF">
        <w:rPr>
          <w:vertAlign w:val="subscript"/>
        </w:rPr>
        <w:t>2</w:t>
      </w:r>
      <w:r w:rsidRPr="003532DF">
        <w:t xml:space="preserve"> adsorption on inorganic and kerogen surfaces results in lower overall self-diffusivities compared to CH</w:t>
      </w:r>
      <w:r w:rsidRPr="003532DF">
        <w:rPr>
          <w:vertAlign w:val="subscript"/>
        </w:rPr>
        <w:t>4</w:t>
      </w:r>
      <w:r w:rsidRPr="003532DF">
        <w:t>. This study illustrates surface and pore size controls on the adsorption, partitioning, and self-diffusivities of CO</w:t>
      </w:r>
      <w:r w:rsidRPr="003532DF">
        <w:rPr>
          <w:vertAlign w:val="subscript"/>
        </w:rPr>
        <w:t>2</w:t>
      </w:r>
      <w:r w:rsidRPr="003532DF">
        <w:t xml:space="preserve"> and CH</w:t>
      </w:r>
      <w:r w:rsidRPr="003532DF">
        <w:rPr>
          <w:vertAlign w:val="subscript"/>
        </w:rPr>
        <w:t>4</w:t>
      </w:r>
      <w:r w:rsidRPr="003532DF">
        <w:t xml:space="preserve"> at conditions relevant for subsurface energy applications. The chemistry of the surfaces along with the availability of internal pores and active adsorption sites influences the adsorption behavior of gases. Our results suggest that CO</w:t>
      </w:r>
      <w:r w:rsidRPr="003532DF">
        <w:rPr>
          <w:vertAlign w:val="subscript"/>
        </w:rPr>
        <w:t>2</w:t>
      </w:r>
      <w:r w:rsidRPr="003532DF">
        <w:t xml:space="preserve"> stored in depleted gas reservoirs may preferentially inhabit nanoconfined pores.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Monteil, C.L., Lefevre, C.T., </w:t>
      </w:r>
      <w:r w:rsidR="00616347">
        <w:t xml:space="preserve">2020. </w:t>
      </w:r>
      <w:r w:rsidRPr="003532DF">
        <w:t>Magnetoreception in microorganisms. Trends in Microbiology 28, 266-275.</w:t>
      </w:r>
    </w:p>
    <w:p w:rsidR="00DB42FE" w:rsidRPr="003532DF" w:rsidRDefault="00DB42FE" w:rsidP="00616347">
      <w:pPr>
        <w:pStyle w:val="EndNoteBibliography"/>
        <w:ind w:left="360"/>
      </w:pPr>
      <w:r w:rsidRPr="003532DF">
        <w:t>http://www.sciencedirect.com/science/article/pii/S0966842X19302677</w:t>
      </w:r>
    </w:p>
    <w:p w:rsidR="00DB42FE" w:rsidRPr="003532DF" w:rsidRDefault="00DB42FE" w:rsidP="00616347">
      <w:pPr>
        <w:pStyle w:val="EndNoteBibliography"/>
        <w:spacing w:after="0"/>
        <w:ind w:left="360"/>
      </w:pPr>
      <w:r w:rsidRPr="003532DF">
        <w:lastRenderedPageBreak/>
        <w:t>Magnetoreception is the sense whereby organisms geolocate and navigate in response to the Earth’s magnetic field lines. For decades, magnetotactic bacteria have been the only known magnetoreceptive microorganisms. The magnetotactic behaviour of these aquatic prokaryotes is due to the biomineralization of magnetic crystals. While an old report alleged the existence of microbial algae with similar behaviour, recent discoveries have demonstrated the existence of unicellular eukaryotes able to sense the geomagnetic field, and have revealed different mechanisms and strategies involved in such a sensing. Some ciliates can be magnetically guided after predation of magnetotactic bacteria, while some flagellates acquired this sense through symbiosis with magnetic bacteria. A report has even suggested that some magnetotactic protists could biomineralize magnetic crystals.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Montgomery, W., </w:t>
      </w:r>
      <w:r w:rsidR="00616347">
        <w:t xml:space="preserve">2020. </w:t>
      </w:r>
      <w:r w:rsidRPr="003532DF">
        <w:t>New paths for survivability of organic material in the martian subsurface. Journal of Geophysical Research: Planets 125, e2019JE006370.</w:t>
      </w:r>
    </w:p>
    <w:p w:rsidR="00DB42FE" w:rsidRPr="003532DF" w:rsidRDefault="00DB42FE" w:rsidP="00616347">
      <w:pPr>
        <w:pStyle w:val="EndNoteBibliography"/>
        <w:ind w:left="360"/>
      </w:pPr>
      <w:r w:rsidRPr="003532DF">
        <w:t>https://doi.org/10.1029/2019JE006370</w:t>
      </w:r>
    </w:p>
    <w:p w:rsidR="00DB42FE" w:rsidRPr="003532DF" w:rsidRDefault="00DB42FE" w:rsidP="00616347">
      <w:pPr>
        <w:pStyle w:val="EndNoteBibliography"/>
        <w:spacing w:after="0"/>
        <w:ind w:left="360"/>
      </w:pPr>
      <w:r w:rsidRPr="003532DF">
        <w:t>Recent space missions have identified organics, chlorinated and non‐chlorinated, on Mars. Understanding the origin, current state and reactivity of this carbonaceous material is critical to efforts to detect organic signatures of possible past life on Mars. Environmental effects such as ultraviolet radiation, pressure, diagenesis, aqueous activity, and presence of perchlorates have been assessed previously using analog experiments. To this list, Fox, et al. adds and quantifies the effect of galactic cosmic rays and solar winds on organic material on the surface and in the near subsurface of Mars. Their work, using laboratory analog materials and radiation, shows that the same organic acids, formic and oxalic acid, are produced after exposure equivalent to that over Martian history at depths of less than 5 cm, independent of mineral matrix or starting organic materials. These experiments suggest that planned subsurface exploration using the drill on the Rosalind Franklin Rover (ExoMars) will sample organic material which has not been altered by cosmic rays, although it may have been exposed to other environmental factors such as water or salts.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Moore, A.M.T., Kennett, J.P., Napier, W.M., Bunch, T.E., Weaver, J.C., LeCompte, M., Adedeji, A.V., Hackley, P., Kletetschka, G., Hermes, R.E., Wittke, J.H., Razink, J.J., Gaultois, M.W., West, A., </w:t>
      </w:r>
      <w:r w:rsidR="00616347">
        <w:t xml:space="preserve">2020. </w:t>
      </w:r>
      <w:r w:rsidRPr="003532DF">
        <w:t>Evidence of cosmic impact at Abu Hureyra, Syria at the Younger Dryas onset (~12.8 ka): High-temperature melting at &gt;2200 °C. Scientific Reports 10, 4185.</w:t>
      </w:r>
    </w:p>
    <w:p w:rsidR="00DB42FE" w:rsidRPr="003532DF" w:rsidRDefault="00DB42FE" w:rsidP="00616347">
      <w:pPr>
        <w:pStyle w:val="EndNoteBibliography"/>
        <w:ind w:left="360"/>
      </w:pPr>
      <w:r w:rsidRPr="003532DF">
        <w:t>https://doi.org/10.1038/s41598-020-60867-w</w:t>
      </w:r>
    </w:p>
    <w:p w:rsidR="00DB42FE" w:rsidRPr="003532DF" w:rsidRDefault="00DB42FE" w:rsidP="00616347">
      <w:pPr>
        <w:pStyle w:val="EndNoteBibliography"/>
        <w:spacing w:after="0"/>
        <w:ind w:left="360"/>
      </w:pPr>
      <w:r w:rsidRPr="003532DF">
        <w:t>At Abu Hureyra (AH), Syria, the 12,800-year-old Younger Dryas boundary layer (YDB) contains peak abundances in meltglass, nanodiamonds, microspherules, and charcoal. AH meltglass comprises 1.6 wt.% of bulk sediment, and crossed polarizers indicate that the meltglass is isotropic. High YDB concentrations of iridium, platinum, nickel, and cobalt suggest mixing of melted local sediment with small quantities of meteoritic material. Approximately 40% of AH glass display carbon-infused, siliceous plant imprints that laboratory experiments show formed at a minimum of 1200°–1300 °C; however, reflectance-inferred temperatures for the encapsulated carbon were lower by up to 1000 °C. Alternately, melted grains of quartz, chromferide, and magnetite in AH glass suggest exposure to minimum temperatures of 1720 °C ranging to &gt;2200 °C. This argues against formation of AH meltglass in thatched hut fires at 1100°–1200 °C, and low values of remanent magnetism indicate the meltglass was not created by lightning. Low meltglass water content (0.02–0.05% H</w:t>
      </w:r>
      <w:r w:rsidRPr="003532DF">
        <w:rPr>
          <w:vertAlign w:val="subscript"/>
        </w:rPr>
        <w:t>2</w:t>
      </w:r>
      <w:r w:rsidRPr="003532DF">
        <w:t xml:space="preserve">O) </w:t>
      </w:r>
      <w:r w:rsidRPr="003532DF">
        <w:lastRenderedPageBreak/>
        <w:t>is consistent with a formation process similar to that of tektites and inconsistent with volcanism and anthropogenesis. The wide range of evidence supports the hypothesis that a cosmic event occurred at Abu Hureyra ~12,800 years ago, coeval with impacts that deposited high-temperature meltglass, melted microspherules, and/or platinum at other YDB sites on four continents.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Moradali, M.F., Rehm, B.H.A., </w:t>
      </w:r>
      <w:r w:rsidR="00616347">
        <w:t xml:space="preserve">2020. </w:t>
      </w:r>
      <w:r w:rsidRPr="003532DF">
        <w:t>Bacterial biopolymers: from pathogenesis to advanced materials. Nature Reviews Microbiology 18, 195-210.</w:t>
      </w:r>
    </w:p>
    <w:p w:rsidR="00DB42FE" w:rsidRPr="003532DF" w:rsidRDefault="00DB42FE" w:rsidP="00616347">
      <w:pPr>
        <w:pStyle w:val="EndNoteBibliography"/>
        <w:ind w:left="360"/>
      </w:pPr>
      <w:r w:rsidRPr="003532DF">
        <w:t>https://doi.org/10.1038/s41579-019-0313-3</w:t>
      </w:r>
    </w:p>
    <w:p w:rsidR="00DB42FE" w:rsidRPr="003532DF" w:rsidRDefault="00DB42FE" w:rsidP="00616347">
      <w:pPr>
        <w:pStyle w:val="EndNoteBibliography"/>
        <w:spacing w:after="0"/>
        <w:ind w:left="360"/>
      </w:pPr>
      <w:r w:rsidRPr="003532DF">
        <w:t>Bacteria are prime cell factories that can efficiently convert carbon and nitrogen sources into a large diversity of intracellular and extracellular biopolymers, such as polysaccharides, polyamides, polyesters, polyphosphates, extracellular DNA and proteinaceous components. Bacterial polymers have important roles in pathogenicity, and their varied chemical and material properties make them suitable for medical and industrial applications. The same biopolymers when produced by pathogenic bacteria function as major virulence factors, whereas when they are produced by non-pathogenic bacteria, they become food ingredients or biomaterials. Interdisciplinary research has shed light on the molecular mechanisms of bacterial polymer synthesis, identified new targets for antibacterial drugs and informed synthetic biology approaches to design and manufacture innovative materials. This Review summarizes the role of bacterial polymers in pathogenesis, their synthesis and their material properties as well as approaches to design cell factories for production of tailor-made bio-based materials suitable for high-value applications.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Morris, A., Meyer, K., Bohannan, B., </w:t>
      </w:r>
      <w:r w:rsidR="00616347">
        <w:t xml:space="preserve">2020. </w:t>
      </w:r>
      <w:r w:rsidRPr="003532DF">
        <w:t>Linking microbial communities to ecosystem functions: what we can learn from genotype–phenotype mapping in organisms. Philosophical Transactions of the Royal Society B: Biological Sciences 375, 20190244.</w:t>
      </w:r>
    </w:p>
    <w:p w:rsidR="00DB42FE" w:rsidRPr="003532DF" w:rsidRDefault="00DB42FE" w:rsidP="00616347">
      <w:pPr>
        <w:pStyle w:val="EndNoteBibliography"/>
        <w:ind w:left="360"/>
      </w:pPr>
      <w:r w:rsidRPr="003532DF">
        <w:t>https://doi.org/10.1098/rstb.2019.0244</w:t>
      </w:r>
    </w:p>
    <w:p w:rsidR="00DB42FE" w:rsidRPr="003532DF" w:rsidRDefault="00DB42FE" w:rsidP="00616347">
      <w:pPr>
        <w:pStyle w:val="EndNoteBibliography"/>
        <w:spacing w:after="0"/>
        <w:ind w:left="360"/>
      </w:pPr>
      <w:r w:rsidRPr="003532DF">
        <w:t>Microbial physiological processes are intimately involved in nutrient cycling. However, it remains unclear to what extent microbial diversity or community composition is important for determining the rates of ecosystem-scale functions. There are many examples of positive correlations between microbial diversity and ecosystem function, but how microbial communities ‘map' onto ecosystem functions remain unresolved. This uncertainty limits our ability to predict and manage crucial microbially mediated processes such as nutrient losses and greenhouse gas emissions. To overcome this challenge, we propose integrating traditional biodiversity–ecosystem function research with ideas from genotype–phenotype mapping in organisms. We identify two insights from genotype–phenotype mapping that could be useful for microbial biodiversity–ecosystem function studies: the concept of searching ‘agnostically' for markers of ecosystem function and controlling for population stratification to identify microorganisms uniquely associated with ecosystem function. We illustrate the potential for these approaches to elucidate microbial biodiversity–ecosystem function relationships by analysing a subset of published data measuring methane oxidation rates from tropical soils. We assert that combining the approaches of traditional biodiversity–ecosystem function research with ideas from genotype–phenotype mapping will generate novel hypotheses about how complex microbial communities drive ecosystem function and help scientists predict and manage changes to ecosystem functions resulting from human activities.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lastRenderedPageBreak/>
        <w:t xml:space="preserve">Mukherjee, B., Roy, P.N.S., Sain, K., </w:t>
      </w:r>
      <w:r w:rsidR="00616347">
        <w:t xml:space="preserve">2020. </w:t>
      </w:r>
      <w:r w:rsidRPr="003532DF">
        <w:t>Delineation of hydrocarbon and non-hydrocarbon zones using fractal analysis of well-log data from Bhogpara oil field, NE India. Carbonates and Evaporites 35, 22.</w:t>
      </w:r>
    </w:p>
    <w:p w:rsidR="00DB42FE" w:rsidRPr="003532DF" w:rsidRDefault="00DB42FE" w:rsidP="00616347">
      <w:pPr>
        <w:pStyle w:val="EndNoteBibliography"/>
        <w:ind w:left="360"/>
      </w:pPr>
      <w:r w:rsidRPr="003532DF">
        <w:t>https://doi.org/10.1007/s13146-020-00556-x</w:t>
      </w:r>
    </w:p>
    <w:p w:rsidR="00DB42FE" w:rsidRPr="003532DF" w:rsidRDefault="00DB42FE" w:rsidP="00616347">
      <w:pPr>
        <w:pStyle w:val="EndNoteBibliography"/>
        <w:spacing w:after="0"/>
        <w:ind w:left="360"/>
      </w:pPr>
      <w:r w:rsidRPr="003532DF">
        <w:t>Hydrocarbon (HC) and non-hydrocarbon (NHC) zones have been characterized using fractal analysis of wireline log data. Well-log responses such as spontaneous potential (SP), gamma ray (GR), resistivity (LLD, LLS, MSFL), neutron porosity (NPHI), bulk density (RHOB) log have been analyzed from five boreholes of Bhogpara oil field using rescaled range (</w:t>
      </w:r>
      <w:r w:rsidRPr="003532DF">
        <w:rPr>
          <w:i/>
        </w:rPr>
        <w:t>R</w:t>
      </w:r>
      <w:r w:rsidRPr="003532DF">
        <w:t>/</w:t>
      </w:r>
      <w:r w:rsidRPr="003532DF">
        <w:rPr>
          <w:i/>
        </w:rPr>
        <w:t>S</w:t>
      </w:r>
      <w:r w:rsidRPr="003532DF">
        <w:t>) and power spectrum density (PSD) techniques. Primarily, both the techniques were applied on the log responses associated with the traditionally identified potential and non-potential zones of 100 m thickness. The Hurst exponent (</w:t>
      </w:r>
      <w:r w:rsidRPr="003532DF">
        <w:rPr>
          <w:i/>
        </w:rPr>
        <w:t>H</w:t>
      </w:r>
      <w:r w:rsidRPr="003532DF">
        <w:rPr>
          <w:vertAlign w:val="subscript"/>
        </w:rPr>
        <w:t>PSD</w:t>
      </w:r>
      <w:r w:rsidRPr="003532DF">
        <w:t>) obtained using PSD analysis for GR, NPHI and RHOB log, shows higher values for HC zones as compared to the NHC zones. Furthermore, to understand the scaling pattern more explicitly for main potential sector of the reservoir. Both of the techniques were applied to the wireline log data that are associated with traditionally defined HC and NHC zones of different thickness. The Hurst exponent (</w:t>
      </w:r>
      <w:r w:rsidRPr="003532DF">
        <w:rPr>
          <w:i/>
        </w:rPr>
        <w:t>H</w:t>
      </w:r>
      <w:r w:rsidRPr="003532DF">
        <w:rPr>
          <w:i/>
          <w:vertAlign w:val="subscript"/>
        </w:rPr>
        <w:t>R</w:t>
      </w:r>
      <w:r w:rsidRPr="003532DF">
        <w:rPr>
          <w:vertAlign w:val="subscript"/>
        </w:rPr>
        <w:t>/</w:t>
      </w:r>
      <w:r w:rsidRPr="003532DF">
        <w:rPr>
          <w:i/>
          <w:vertAlign w:val="subscript"/>
        </w:rPr>
        <w:t>S</w:t>
      </w:r>
      <w:r w:rsidRPr="003532DF">
        <w:t xml:space="preserve">) obtained using </w:t>
      </w:r>
      <w:r w:rsidRPr="003532DF">
        <w:rPr>
          <w:i/>
        </w:rPr>
        <w:t>R</w:t>
      </w:r>
      <w:r w:rsidRPr="003532DF">
        <w:t>/</w:t>
      </w:r>
      <w:r w:rsidRPr="003532DF">
        <w:rPr>
          <w:i/>
        </w:rPr>
        <w:t>S</w:t>
      </w:r>
      <w:r w:rsidRPr="003532DF">
        <w:t xml:space="preserve"> analysis was found to be of relatively higher values for HC zones as compared to the NHC zones for all wireline log response. Again opposite trend was also observed for H</w:t>
      </w:r>
      <w:r w:rsidRPr="003532DF">
        <w:rPr>
          <w:vertAlign w:val="subscript"/>
        </w:rPr>
        <w:t>PSD</w:t>
      </w:r>
      <w:r w:rsidRPr="003532DF">
        <w:t xml:space="preserve"> values that obtained from GR, MSFL, NPHI and RHOB log responses only. Hence, the HC and NHC zones can be delineated from fractal analysis of wireline logs and also overcome the chance of misinterpretation, which is quite possible in the case of hydrocarbon zone detection in traditional reservoir characterization.</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Mychajliw, A.M., Rice, K.A., Tewksbury, L.R., Southon, J.R., Lindsey, E.L., </w:t>
      </w:r>
      <w:r w:rsidR="00616347">
        <w:t xml:space="preserve">2020. </w:t>
      </w:r>
      <w:r w:rsidRPr="003532DF">
        <w:t>Exceptionally preserved asphaltic coprolites expand the spatiotemporal range of a North American paleoecological proxy. Scientific Reports 10, 5069.</w:t>
      </w:r>
    </w:p>
    <w:p w:rsidR="00DB42FE" w:rsidRPr="003532DF" w:rsidRDefault="00DB42FE" w:rsidP="00616347">
      <w:pPr>
        <w:pStyle w:val="EndNoteBibliography"/>
        <w:ind w:left="360"/>
      </w:pPr>
      <w:r w:rsidRPr="003532DF">
        <w:t>https://doi.org/10.1038/s41598-020-61996-y</w:t>
      </w:r>
    </w:p>
    <w:p w:rsidR="00DB42FE" w:rsidRPr="003532DF" w:rsidRDefault="00DB42FE" w:rsidP="00616347">
      <w:pPr>
        <w:pStyle w:val="EndNoteBibliography"/>
        <w:spacing w:after="0"/>
        <w:ind w:left="360"/>
      </w:pPr>
      <w:r w:rsidRPr="003532DF">
        <w:t xml:space="preserve">As fossilized feces, coprolites represent direct evidence of animal behavior captured in the fossil record. They encapsulate past ecological interactions between a consumer and its prey and, when they contain plant material, can also guide paleoenvironmental reconstructions. Here we describe the first coprolites from the lagerstätte Rancho La Brea (RLB) in Los Angeles, California, which also represent the first confirmed coprolites from an asphaltic (“tar pit”) context globally. Combining multiple lines of evidence, including radiocarbon dating, body size reconstructions, stable isotope analysis, scanning electron microscopy, and sediment analyses, we document hundreds of rodent coprolites found in association with plant material, and tentatively assign them to the woodrat genus </w:t>
      </w:r>
      <w:r w:rsidRPr="003532DF">
        <w:rPr>
          <w:i/>
        </w:rPr>
        <w:t>Neotoma</w:t>
      </w:r>
      <w:r w:rsidRPr="003532DF">
        <w:t xml:space="preserve">. </w:t>
      </w:r>
      <w:r w:rsidRPr="003532DF">
        <w:rPr>
          <w:i/>
        </w:rPr>
        <w:t>Neotoma</w:t>
      </w:r>
      <w:r w:rsidRPr="003532DF">
        <w:t xml:space="preserve"> nests (i.e., middens) and their associated coprolites inform paleoclimatic reconstructions for the arid southwestern US but are not typically preserved in coastal areas due to environmental and physiological characteristics. The serendipitous activity of an asphalt seep preserved coprolites and their original cellulosic material for 50,000 years at RLB, yielding a snapshot of coastal California during Marine Isotope Stage 3. This discovery augments the proxies available at an already critical fossil locality and highlights the potential for more comprehensive paleoenvironmental analyses at other asphaltic localities globally.</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Nai, H., Xin, J., Liu, Y., Zheng, X., Lin, Z., </w:t>
      </w:r>
      <w:r w:rsidR="00616347">
        <w:t xml:space="preserve">2020. </w:t>
      </w:r>
      <w:r w:rsidRPr="003532DF">
        <w:t xml:space="preserve">Distribution and molecular chemodiversity of dissolved organic nitrogen in the vadose zone-groundwater system of a fluvial plain, northern China: </w:t>
      </w:r>
      <w:r w:rsidRPr="003532DF">
        <w:lastRenderedPageBreak/>
        <w:t>Implications for understanding its loss pathway to groundwater. Science of The Total Environment 723, 137928.</w:t>
      </w:r>
    </w:p>
    <w:p w:rsidR="00DB42FE" w:rsidRPr="003532DF" w:rsidRDefault="00DB42FE" w:rsidP="00616347">
      <w:pPr>
        <w:pStyle w:val="EndNoteBibliography"/>
        <w:ind w:left="360"/>
      </w:pPr>
      <w:r w:rsidRPr="003532DF">
        <w:t>http://www.sciencedirect.com/science/article/pii/S0048969720314418</w:t>
      </w:r>
    </w:p>
    <w:p w:rsidR="00DB42FE" w:rsidRPr="003532DF" w:rsidRDefault="00DB42FE" w:rsidP="00616347">
      <w:pPr>
        <w:pStyle w:val="EndNoteBibliography"/>
        <w:spacing w:after="0"/>
        <w:ind w:left="360"/>
      </w:pPr>
      <w:r w:rsidRPr="003532DF">
        <w:t>Nitrogen (N) pollution in groundwater has become a worldwide environmental geological issue due to the excessive N application into the vadose zone and furthered N leaching. Dissolved organic nitrogen (DON) are proposed as an overlooked pathway of N loss from agricultural systems to groundwater recently. Here, we collected soil (0–320 cm) and groundwater samples in a historic agricultural area to characterize the distribution and chemodiversity of DON in the vadose zone-groundwater system, and identified specific linkages between DON traits and the bacterial community. The results showed that DON and NO</w:t>
      </w:r>
      <w:r w:rsidRPr="003532DF">
        <w:rPr>
          <w:vertAlign w:val="subscript"/>
        </w:rPr>
        <w:t>3</w:t>
      </w:r>
      <w:r w:rsidRPr="003532DF">
        <w:rPr>
          <w:vertAlign w:val="superscript"/>
        </w:rPr>
        <w:t>−</w:t>
      </w:r>
      <w:r w:rsidRPr="003532DF">
        <w:t xml:space="preserve">-N were the main forms of dissolved N in the vadose zone-groundwater system. The deep vadose zone (&gt; 100 cm) was an important storage area for DON (44.9%), having implications for long-term groundwater quality degradation. Fourier transform ion cyclotron resonance mass spectrometry (FT-ICR MS) revealed that the DON was dominated by condensed aromatics and lignins (57.2%) in the vadose zone, whereas amino sugars, proteins, peptides and lignins (72.5%) were dominant in groundwater. By analyzing shared and ubiquitous DON molecular formulas detected among different layers, it was found that &lt; 2.52% of DONs could be leached from surface soil to groundwater directly, and most DONs went through biological conversion during the whole leaching path. It was identified that bacterial community played an important role in DONs transformation. The most active bacteria in the transformation were </w:t>
      </w:r>
      <w:r w:rsidRPr="003532DF">
        <w:rPr>
          <w:i/>
        </w:rPr>
        <w:t>Nitrospira</w:t>
      </w:r>
      <w:r w:rsidRPr="003532DF">
        <w:t xml:space="preserve">, </w:t>
      </w:r>
      <w:r w:rsidRPr="003532DF">
        <w:rPr>
          <w:i/>
        </w:rPr>
        <w:t>Bacillus</w:t>
      </w:r>
      <w:r w:rsidRPr="003532DF">
        <w:t xml:space="preserve">, and </w:t>
      </w:r>
      <w:r w:rsidRPr="003532DF">
        <w:rPr>
          <w:i/>
        </w:rPr>
        <w:t>Sphingomonas</w:t>
      </w:r>
      <w:r w:rsidRPr="003532DF">
        <w:t xml:space="preserve"> and they tended to interact with DON of high N/C and H/C ratios, causing molecules with high unsaturation, high aromaticity and high oxidation to accumulate. The results would be helpful to elucidate DON occurrence in groundwater and track the key processes governing DON transport from the surface soil to groundwater.</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Naito, Y.I., Yamane, M., Kitagawa, H., </w:t>
      </w:r>
      <w:r w:rsidR="00616347">
        <w:t xml:space="preserve">2020. </w:t>
      </w:r>
      <w:r w:rsidRPr="003532DF">
        <w:t>A protocol for using attenuated total reflection Fourier-transform infrared spectroscopy for pre-screening ancient bone collagen prior to radiocarbon dating. Rapid Communications in Mass Spectrometry 34, e8720.</w:t>
      </w:r>
    </w:p>
    <w:p w:rsidR="00DB42FE" w:rsidRPr="003532DF" w:rsidRDefault="00DB42FE" w:rsidP="00616347">
      <w:pPr>
        <w:pStyle w:val="EndNoteBibliography"/>
        <w:ind w:left="360"/>
      </w:pPr>
      <w:r w:rsidRPr="003532DF">
        <w:t>https://doi.org/10.1002/rcm.8720</w:t>
      </w:r>
    </w:p>
    <w:p w:rsidR="00DB42FE" w:rsidRPr="003532DF" w:rsidRDefault="00DB42FE" w:rsidP="00616347">
      <w:pPr>
        <w:pStyle w:val="EndNoteBibliography"/>
        <w:ind w:left="360"/>
      </w:pPr>
      <w:r w:rsidRPr="003532DF">
        <w:t>Rationale: Pre‐screening of bone collagen quality is important to reduce the cost for analyses such as radiocarbon (</w:t>
      </w:r>
      <w:r w:rsidRPr="003532DF">
        <w:rPr>
          <w:vertAlign w:val="superscript"/>
        </w:rPr>
        <w:t>14</w:t>
      </w:r>
      <w:r w:rsidRPr="003532DF">
        <w:t xml:space="preserve">C) dating with accelerator mass spectrometry in archaeological studies. We developed a pre‐screening protocol based on attenuated total reflection (ATR) Fourier‐transform infrared spectroscopy (FTIR) for assessing the chemical composition and mineralogy of ancient bone samples. </w:t>
      </w:r>
    </w:p>
    <w:p w:rsidR="00DB42FE" w:rsidRPr="003532DF" w:rsidRDefault="00DB42FE" w:rsidP="00616347">
      <w:pPr>
        <w:pStyle w:val="EndNoteBibliography"/>
        <w:ind w:left="360"/>
      </w:pPr>
      <w:r w:rsidRPr="003532DF">
        <w:t>Methods: ATR‐FTIR measurements were performed on bulk bones of diverse origin and age before collagen extraction. The percentage nitrogen of bulk bones, as well as the weight percentage, and the percentage carbon and nitrogen of extracted organic matter were noted. Several machine learning algorithms were applied to the spectral data and compared for their efficacy in screening for well preserved collagen.</w:t>
      </w:r>
    </w:p>
    <w:p w:rsidR="00DB42FE" w:rsidRPr="003532DF" w:rsidRDefault="00DB42FE" w:rsidP="00616347">
      <w:pPr>
        <w:pStyle w:val="EndNoteBibliography"/>
        <w:ind w:left="360"/>
      </w:pPr>
      <w:r w:rsidRPr="003532DF">
        <w:t>Results: The results showed that (a) the first derivative of the spectral data was better suited to screening than the raw FTIR data, especially for a wider spectral range and (b) certain classification algorithms [e.g. gradient boosting machine (GBM)] were able to efficiently predict the degree of preservation in bone samples.</w:t>
      </w:r>
    </w:p>
    <w:p w:rsidR="00DB42FE" w:rsidRPr="003532DF" w:rsidRDefault="00DB42FE" w:rsidP="00616347">
      <w:pPr>
        <w:pStyle w:val="EndNoteBibliography"/>
        <w:spacing w:after="0"/>
        <w:ind w:left="360"/>
        <w:rPr>
          <w:rFonts w:ascii="Times New Roman" w:hAnsi="Times New Roman" w:cs="Times New Roman"/>
          <w:sz w:val="24"/>
        </w:rPr>
      </w:pPr>
      <w:r w:rsidRPr="003532DF">
        <w:lastRenderedPageBreak/>
        <w:t xml:space="preserve">Conclusions: This pre‐screening protocol can serve as a fast, concise and inexpensive pre‐screening tool for determining relative degrees of preservation before collagen extraction and subsequent </w:t>
      </w:r>
      <w:r w:rsidRPr="003532DF">
        <w:rPr>
          <w:vertAlign w:val="superscript"/>
        </w:rPr>
        <w:t>14</w:t>
      </w:r>
      <w:r w:rsidRPr="003532DF">
        <w:t>C dating. The screening power based on the machine learning techniques can be further improved by accumulating the FTIR spectral data of bones</w:t>
      </w:r>
      <w:r w:rsidRPr="003532DF">
        <w:rPr>
          <w:rFonts w:ascii="Times New Roman" w:hAnsi="Times New Roman" w:cs="Times New Roman"/>
          <w:sz w:val="24"/>
        </w:rPr>
        <w:t xml:space="preserve">. </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Napier, J.D., de Lafontaine, G., Chipman, M.L., </w:t>
      </w:r>
      <w:r w:rsidR="00616347">
        <w:t xml:space="preserve">2020. </w:t>
      </w:r>
      <w:r w:rsidRPr="003532DF">
        <w:t>The evolution of paleoecology. Trends in Ecology &amp; Evolution 35, 293-295.</w:t>
      </w:r>
    </w:p>
    <w:p w:rsidR="00DB42FE" w:rsidRPr="003532DF" w:rsidRDefault="00DB42FE" w:rsidP="00616347">
      <w:pPr>
        <w:pStyle w:val="EndNoteBibliography"/>
        <w:ind w:left="360"/>
      </w:pPr>
      <w:r w:rsidRPr="003532DF">
        <w:t>http://www.sciencedirect.com/science/article/pii/S0169534719303519</w:t>
      </w:r>
    </w:p>
    <w:p w:rsidR="00DB42FE" w:rsidRPr="003532DF" w:rsidRDefault="00DB42FE" w:rsidP="00616347">
      <w:pPr>
        <w:pStyle w:val="EndNoteBibliography"/>
        <w:spacing w:after="0"/>
        <w:ind w:left="360"/>
      </w:pPr>
      <w:r w:rsidRPr="003532DF">
        <w:t>While the interplay between migration and adaptation dictates species response to climate change, technological limitations have obfuscated explicit tests on past adaptive responses. However, a surge in technology-driven advances in paleoecological methods coincides with breakthroughs in processing ancient DNA, providing the first opportunity to assess adaptation to past climate shifts.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Ng, G.-H.C., Rosenfeld, C.E., Santelli, C.M., Yourd, A.R., Lange, J., Duhn, K., Johnson, N.W., </w:t>
      </w:r>
      <w:r w:rsidR="00616347">
        <w:t xml:space="preserve">2020. </w:t>
      </w:r>
      <w:r w:rsidRPr="003532DF">
        <w:t>Microbial and reactive transport modeling evidence for hyporheic flux-driven cryptic sulfur cycling and anaerobic methane oxidation in a sulfate-impacted wetland-stream system. Journal of Geophysical Research: Biogeosciences 125, e2019JG005185.</w:t>
      </w:r>
    </w:p>
    <w:p w:rsidR="00DB42FE" w:rsidRPr="003532DF" w:rsidRDefault="00DB42FE" w:rsidP="00616347">
      <w:pPr>
        <w:pStyle w:val="EndNoteBibliography"/>
        <w:ind w:left="360"/>
      </w:pPr>
      <w:r w:rsidRPr="003532DF">
        <w:t>https://doi.org/10.1029/2019JG005185</w:t>
      </w:r>
    </w:p>
    <w:p w:rsidR="00DB42FE" w:rsidRPr="003532DF" w:rsidRDefault="00DB42FE" w:rsidP="00616347">
      <w:pPr>
        <w:pStyle w:val="EndNoteBibliography"/>
        <w:spacing w:after="0"/>
        <w:ind w:left="360"/>
      </w:pPr>
      <w:r w:rsidRPr="003532DF">
        <w:t>This study reexamines the common expectations that in freshwater systems, sulfur plays a minor role in carbon cycling, and aerobic processes dominate methane oxidation. In anoxic sediments of a sulfate‐impacted wetland‐stream system in Minnesota (USA), a reactive transport model calibrated to geochemical observations predicted sulfate reduction to be the major terminal electron accepting process, and it showed that anaerobic oxidation of methane predominantly coupled with sulfate reduction attenuated methane concentrations near the sediment‐water interface. Consistent with model results, 16S rRNA microbiome analysis revealed a high relative abundance of taxa capable of dissimilatory sulfate reduction. It further supported the conclusion that high simulated sulfate reduction rates could be maintained by a “cryptic” sulfur cycle coupled to iron and methane. Low relative abundance of known iron reducing bacteria raised the possibility of abiotic ferric iron (Fe) reduction driving sulfide reoxidation to intermediate‐valence sulfur forms; widespread potential for microbially mediated disproportionation, oxidation, and reduction of sulfur intermediates provided mechanisms for completing redox cycles; and archaea comprising up to 25% of the microbial community could include consortia capable of anaerobic oxidation of methane. These biogeochemical processes were found to be controlled by hyporheic fluxes. Lower‐magnitude fluxes in wetland compared to channel sediments created sharper geochemical gradients that generated greater heterogeneity in microbial distributions and reaction rates. Changes in upward flux caused fluctuations in sulfate concentrations that led to alternating simulations of methane production and transport. Our work supports the importance of hyporheic flux‐driven iron‐sulfur‐methane cycling in sulfate‐impacted wetlands and prompts further investigations under freshwater conditions.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Nicholls, R., Buckberry, J., Beaumont, J., Črešnar, M., Mason, P., Armit, I., Koon, H., </w:t>
      </w:r>
      <w:r w:rsidR="00616347">
        <w:t xml:space="preserve">2020. </w:t>
      </w:r>
      <w:r w:rsidRPr="003532DF">
        <w:t>A carbon and nitrogen isotopic investigation of a case of probable infantile scurvy (6th–4th centuries BC, Slovenia). Journal of Archaeological Science: Reports 30, 102206.</w:t>
      </w:r>
    </w:p>
    <w:p w:rsidR="00DB42FE" w:rsidRPr="003532DF" w:rsidRDefault="00DB42FE" w:rsidP="00616347">
      <w:pPr>
        <w:pStyle w:val="EndNoteBibliography"/>
        <w:ind w:left="360"/>
      </w:pPr>
      <w:r w:rsidRPr="003532DF">
        <w:lastRenderedPageBreak/>
        <w:t>http://www.sciencedirect.com/science/article/pii/S2352409X19302792</w:t>
      </w:r>
    </w:p>
    <w:p w:rsidR="00DB42FE" w:rsidRPr="003532DF" w:rsidRDefault="00DB42FE" w:rsidP="00616347">
      <w:pPr>
        <w:pStyle w:val="EndNoteBibliography"/>
        <w:spacing w:after="0"/>
        <w:ind w:left="360"/>
      </w:pPr>
      <w:r w:rsidRPr="003532DF">
        <w:t>This paper presents a case study of a young infant, from a larger isotopic and osteological investigation of Bronze/Iron Age (14th-4th century BCE) skeletal assemblages from Croatia and Slovenia. The osteological analysis of this infant identified pathological lesions including abnormal porosity and new bone formation consistent with malnutrition and phases of recovery. The distribution and appearance of these pathological lesions (i.e. diffuse micro-porosities and plaques of subperiosteal new bone formation on the skull and long bones) led to the conclusion that this infant probably suffered from scurvy (vitamin C deficiency). The diet and nitrogen balance of this individual were investigated by incremental dentine sampling and stable carbon and nitrogen isotope analysis. This sampling method provided a high resolution record of dietary and metabolic changes from pre-birth to around the time of death. The resulting isotope data exhibited unusually high δ</w:t>
      </w:r>
      <w:r w:rsidRPr="003532DF">
        <w:rPr>
          <w:vertAlign w:val="superscript"/>
        </w:rPr>
        <w:t>13</w:t>
      </w:r>
      <w:r w:rsidRPr="003532DF">
        <w:t>C values for this region and time period (between −11.3‰ and −12.6‰), while δ</w:t>
      </w:r>
      <w:r w:rsidRPr="003532DF">
        <w:rPr>
          <w:vertAlign w:val="superscript"/>
        </w:rPr>
        <w:t>15</w:t>
      </w:r>
      <w:r w:rsidRPr="003532DF">
        <w:t>N values were observed to be c. 3‰ above that of rib collagen sampled from contemporary adults recovered from the same site. The isotope profiles generated from the incremental dentine analysis show that δ</w:t>
      </w:r>
      <w:r w:rsidRPr="003532DF">
        <w:rPr>
          <w:vertAlign w:val="superscript"/>
        </w:rPr>
        <w:t>13</w:t>
      </w:r>
      <w:r w:rsidRPr="003532DF">
        <w:t>C and especially δ</w:t>
      </w:r>
      <w:r w:rsidRPr="003532DF">
        <w:rPr>
          <w:vertAlign w:val="superscript"/>
        </w:rPr>
        <w:t>15</w:t>
      </w:r>
      <w:r w:rsidRPr="003532DF">
        <w:t>N continue to increase until death. The evidence from the skeletal remains and high resolution isotopic data support the hypothesis that this infant suffered from severe malnutrition and an increasingly negative nitrogen balance. The paper discusses some scenarios which could have resulted in these unusual isotope ratios, whilst considering the diagnosis of possible metabolic disease. The paper also addresses the need for context when interpreting isotopic results. The isotope data should not be viewed in isolation, but rather as part of a multidisciplinary approach, considering the multiple causes of isotopic variability.</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Nie, H., Yang, Z., Dang, W., Chen, Q., Li, P., Li, D., Wang, R., </w:t>
      </w:r>
      <w:r w:rsidR="00616347">
        <w:t xml:space="preserve">2020. </w:t>
      </w:r>
      <w:r w:rsidRPr="003532DF">
        <w:t>Study of shale gas release from freshly drilled core samples using a real-time canister monitoring technique: Release kinetics, influencing factors, and upscaling. Energy &amp; Fuels 34, 2916-2924.</w:t>
      </w:r>
    </w:p>
    <w:p w:rsidR="00DB42FE" w:rsidRPr="003532DF" w:rsidRDefault="00DB42FE" w:rsidP="00616347">
      <w:pPr>
        <w:pStyle w:val="EndNoteBibliography"/>
        <w:ind w:left="360"/>
      </w:pPr>
      <w:r w:rsidRPr="003532DF">
        <w:t>https://doi.org/10.1021/acs.energyfuels.9b04122</w:t>
      </w:r>
    </w:p>
    <w:p w:rsidR="00DB42FE" w:rsidRPr="003532DF" w:rsidRDefault="00DB42FE" w:rsidP="00616347">
      <w:pPr>
        <w:pStyle w:val="EndNoteBibliography"/>
        <w:spacing w:after="0"/>
        <w:ind w:left="360"/>
      </w:pPr>
      <w:r w:rsidRPr="003532DF">
        <w:t>Gas release from organic-rich shale rock plays a significant role in the migration and production of hydrocarbons in the shale reservoir. Despite recent progress in gas adsorption/desorption experiments and molecular simulation, information on the actual gas release process remains stagnated. Here, we demonstrate the real-time canister monitoring technique as a powerful tool to investigate the kinetics of shale gas release from freshly drilled core samples. Combined with the adsorption capacity measurement, it is found that the gas released from the core in the canister is the gas that was in the adsorbed state in the reservoir, and the free gas and a fraction of adsorbed gas were already lost during coring. Then, the reaction-based pseudo-first-order and pseudo-second-order models and the diffusion-based double-exponential (DE) model are used to interpret the kinetics of shale gas release. Instead of the coefficient of determination (</w:t>
      </w:r>
      <w:r w:rsidRPr="003532DF">
        <w:rPr>
          <w:i/>
        </w:rPr>
        <w:t>R</w:t>
      </w:r>
      <w:r w:rsidRPr="003532DF">
        <w:rPr>
          <w:vertAlign w:val="superscript"/>
        </w:rPr>
        <w:t>2</w:t>
      </w:r>
      <w:r w:rsidRPr="003532DF">
        <w:t>), the corrected Akaike information criterion technique (AIC</w:t>
      </w:r>
      <w:r w:rsidRPr="003532DF">
        <w:rPr>
          <w:vertAlign w:val="subscript"/>
        </w:rPr>
        <w:t>c</w:t>
      </w:r>
      <w:r w:rsidRPr="003532DF">
        <w:t>) was used to determine the best fitting model. It is found that the DE model best described the kinetics of shale gas release from the core, and the success of the DE model suggests that the shale gas release from the core is a process of first-order, two-stage, and micropore diffusion-controlled. Further, to investigate the dependence of gas release kinetics, the half-life time (</w:t>
      </w:r>
      <w:r w:rsidRPr="003532DF">
        <w:rPr>
          <w:i/>
        </w:rPr>
        <w:t>t</w:t>
      </w:r>
      <w:r w:rsidRPr="003532DF">
        <w:rPr>
          <w:vertAlign w:val="subscript"/>
        </w:rPr>
        <w:t>1/2</w:t>
      </w:r>
      <w:r w:rsidRPr="003532DF">
        <w:t xml:space="preserve">) was calculated and correlated with the adsorption capacity, gas concentrations, and total organic matter (TOC) content. It is shown that increasing the gas adsorption capacity, gas concentrations, and TOC content could accelerate the rate of shale gas release. In addition, the potential implications and an upscaling attempt of the release kinetics in evaluating the shale gas content and production are also discussed. We found that the slow stage of </w:t>
      </w:r>
      <w:r w:rsidRPr="003532DF">
        <w:lastRenderedPageBreak/>
        <w:t>gas release controls the estimated ultimate recovery (EUR) of shale gas wells, while the estimation based on the fast stage would significantly lower the EUR. Overall, by using the real-time wellsite canister monitoring technique, this study provides a unique perspective for understanding the kinetics of gas release from tight shale rock, as well as the long-term shale gas production behavior.</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Niedzwiedzki, D.M., Swainsbury, D.J.K., Canniffe, D.P., Hunter, C.N., Hitchcock, A., </w:t>
      </w:r>
      <w:r w:rsidR="00616347">
        <w:t xml:space="preserve">2020. </w:t>
      </w:r>
      <w:r w:rsidRPr="003532DF">
        <w:t>A photosynthetic antenna complex foregoes unity carotenoid-to-bacteriochlorophyll energy transfer efficiency to ensure photoprotection. Proceedings of the National Academy of Sciences 117, 6502-6508.</w:t>
      </w:r>
    </w:p>
    <w:p w:rsidR="00DB42FE" w:rsidRPr="003532DF" w:rsidRDefault="00DB42FE" w:rsidP="00616347">
      <w:pPr>
        <w:pStyle w:val="EndNoteBibliography"/>
        <w:ind w:left="360"/>
      </w:pPr>
      <w:r w:rsidRPr="003532DF">
        <w:t>https://doi.org/10.1073/pnas.1920923117</w:t>
      </w:r>
    </w:p>
    <w:p w:rsidR="00DB42FE" w:rsidRPr="003532DF" w:rsidRDefault="00DB42FE" w:rsidP="00616347">
      <w:pPr>
        <w:pStyle w:val="EndNoteBibliography"/>
        <w:ind w:left="360"/>
      </w:pPr>
      <w:r w:rsidRPr="003532DF">
        <w:t>Significance: Photosynthesis uses carotenoids as light-harvesting pigments and for photoprotective energy dissipation. The carbon–carbon double bond conjugation length of carotenoids (</w:t>
      </w:r>
      <w:r w:rsidRPr="003532DF">
        <w:rPr>
          <w:i/>
        </w:rPr>
        <w:t>N</w:t>
      </w:r>
      <w:r w:rsidRPr="003532DF">
        <w:t xml:space="preserve">) affects the carotenoid-to-(bacterio)chlorophyll energy transfer efficiency, but the photoprotective capability was considered to be independent of </w:t>
      </w:r>
      <w:r w:rsidRPr="003532DF">
        <w:rPr>
          <w:i/>
        </w:rPr>
        <w:t>N</w:t>
      </w:r>
      <w:r w:rsidRPr="003532DF">
        <w:t xml:space="preserve">. Using light-harvesting complex 2 from the model photosynthetic bacterium </w:t>
      </w:r>
      <w:r w:rsidRPr="003532DF">
        <w:rPr>
          <w:i/>
        </w:rPr>
        <w:t>Rhodobacter sphaeroides</w:t>
      </w:r>
      <w:r w:rsidRPr="003532DF">
        <w:t xml:space="preserve"> containing ζ-carotene (</w:t>
      </w:r>
      <w:r w:rsidRPr="003532DF">
        <w:rPr>
          <w:i/>
        </w:rPr>
        <w:t>N</w:t>
      </w:r>
      <w:r w:rsidRPr="003532DF">
        <w:t xml:space="preserve"> = 7) or neurosporene (</w:t>
      </w:r>
      <w:r w:rsidRPr="003532DF">
        <w:rPr>
          <w:i/>
        </w:rPr>
        <w:t>N</w:t>
      </w:r>
      <w:r w:rsidRPr="003532DF">
        <w:t xml:space="preserve"> = 9), we demonstrate that decreasing the conjugation length increases the carotenoid-to-bacteriochlorophyll energy transfer efficiency, in the case of ζ-carotene to </w:t>
      </w:r>
      <w:r w:rsidRPr="003532DF">
        <w:rPr>
          <w:rFonts w:ascii="Cambria Math" w:hAnsi="Cambria Math" w:cs="Cambria Math"/>
        </w:rPr>
        <w:t>∼</w:t>
      </w:r>
      <w:r w:rsidRPr="003532DF">
        <w:t>100%. However, unity quantum efficiency comes at the cost of photoprotection, suggesting that naturally evolved photosynthesis tolerates some energetic loss to allow essential energy dissipation, explaining why longer-conjugation length carotenoids are utilized in native pigment–protein complexes.</w:t>
      </w:r>
    </w:p>
    <w:p w:rsidR="00DB42FE" w:rsidRPr="003532DF" w:rsidRDefault="00DB42FE" w:rsidP="00616347">
      <w:pPr>
        <w:pStyle w:val="EndNoteBibliography"/>
        <w:spacing w:after="0"/>
        <w:ind w:left="360"/>
      </w:pPr>
      <w:r w:rsidRPr="003532DF">
        <w:t>Abstract: Carotenoids play a number of important roles in photosynthesis, primarily providing light-harvesting and photoprotective energy dissipation functions within pigment–protein complexes. The carbon–carbon double bond (C=C) conjugation length of carotenoids (</w:t>
      </w:r>
      <w:r w:rsidRPr="003532DF">
        <w:rPr>
          <w:i/>
        </w:rPr>
        <w:t>N</w:t>
      </w:r>
      <w:r w:rsidRPr="003532DF">
        <w:t xml:space="preserve">), generally between 9 and 15, determines the carotenoid-to-(bacterio)chlorophyll [(B)Chl] energy transfer efficiency. Here we purified and spectroscopically characterized light-harvesting complex 2 (LH2) from </w:t>
      </w:r>
      <w:r w:rsidRPr="003532DF">
        <w:rPr>
          <w:i/>
        </w:rPr>
        <w:t>Rhodobacter sphaeroides</w:t>
      </w:r>
      <w:r w:rsidRPr="003532DF">
        <w:t xml:space="preserve"> containing the </w:t>
      </w:r>
      <w:r w:rsidRPr="003532DF">
        <w:rPr>
          <w:i/>
        </w:rPr>
        <w:t>N</w:t>
      </w:r>
      <w:r w:rsidRPr="003532DF">
        <w:t xml:space="preserve"> = 7 carotenoid zeta (ζ)-carotene, not previously incorporated within a natural antenna complex. Transient absorption and time-resolved fluorescence show that, relative to the lifetime of the S</w:t>
      </w:r>
      <w:r w:rsidRPr="003532DF">
        <w:rPr>
          <w:vertAlign w:val="subscript"/>
        </w:rPr>
        <w:t>1</w:t>
      </w:r>
      <w:r w:rsidRPr="003532DF">
        <w:t xml:space="preserve"> state of ζ-carotene in solvent, the lifetime decreases </w:t>
      </w:r>
      <w:r w:rsidRPr="003532DF">
        <w:rPr>
          <w:rFonts w:ascii="Cambria Math" w:hAnsi="Cambria Math" w:cs="Cambria Math"/>
        </w:rPr>
        <w:t>∼</w:t>
      </w:r>
      <w:r w:rsidRPr="003532DF">
        <w:t xml:space="preserve">250-fold when </w:t>
      </w:r>
      <w:r w:rsidRPr="003532DF">
        <w:rPr>
          <w:rFonts w:cs="Calibri"/>
        </w:rPr>
        <w:t>ζ</w:t>
      </w:r>
      <w:r w:rsidRPr="003532DF">
        <w:t xml:space="preserve">-carotene is incorporated within LH2, due to transfer of excitation energy to the B800 and B850 BChls </w:t>
      </w:r>
      <w:r w:rsidRPr="003532DF">
        <w:rPr>
          <w:i/>
        </w:rPr>
        <w:t>a</w:t>
      </w:r>
      <w:r w:rsidRPr="003532DF">
        <w:t xml:space="preserve">. These measurements show that energy transfer proceeds with an efficiency of </w:t>
      </w:r>
      <w:r w:rsidRPr="003532DF">
        <w:rPr>
          <w:rFonts w:ascii="Cambria Math" w:hAnsi="Cambria Math" w:cs="Cambria Math"/>
        </w:rPr>
        <w:t>∼</w:t>
      </w:r>
      <w:r w:rsidRPr="003532DF">
        <w:t>100%, primarily via the S</w:t>
      </w:r>
      <w:r w:rsidRPr="003532DF">
        <w:rPr>
          <w:vertAlign w:val="subscript"/>
        </w:rPr>
        <w:t>1</w:t>
      </w:r>
      <w:r w:rsidRPr="003532DF">
        <w:t xml:space="preserve"> → Q</w:t>
      </w:r>
      <w:r w:rsidRPr="003532DF">
        <w:rPr>
          <w:vertAlign w:val="subscript"/>
        </w:rPr>
        <w:t>x</w:t>
      </w:r>
      <w:r w:rsidRPr="003532DF">
        <w:t xml:space="preserve"> route because the S</w:t>
      </w:r>
      <w:r w:rsidRPr="003532DF">
        <w:rPr>
          <w:vertAlign w:val="subscript"/>
        </w:rPr>
        <w:t>1</w:t>
      </w:r>
      <w:r w:rsidRPr="003532DF">
        <w:t xml:space="preserve"> → S</w:t>
      </w:r>
      <w:r w:rsidRPr="003532DF">
        <w:rPr>
          <w:vertAlign w:val="subscript"/>
        </w:rPr>
        <w:t>0</w:t>
      </w:r>
      <w:r w:rsidRPr="003532DF">
        <w:t xml:space="preserve"> fluorescence emission of ζ-carotene overlaps almost perfectly with the Q</w:t>
      </w:r>
      <w:r w:rsidRPr="003532DF">
        <w:rPr>
          <w:vertAlign w:val="subscript"/>
        </w:rPr>
        <w:t>x</w:t>
      </w:r>
      <w:r w:rsidRPr="003532DF">
        <w:t xml:space="preserve"> absorption band of the BChls. However, transient absorption measurements performed on microsecond timescales reveal that, unlike the native </w:t>
      </w:r>
      <w:r w:rsidRPr="003532DF">
        <w:rPr>
          <w:i/>
        </w:rPr>
        <w:t>N</w:t>
      </w:r>
      <w:r w:rsidRPr="003532DF">
        <w:t xml:space="preserve"> ≥ 9 carotenoids normally utilized in light-harvesting complexes, ζ-carotene does not quench excited triplet states of BChl </w:t>
      </w:r>
      <w:r w:rsidRPr="003532DF">
        <w:rPr>
          <w:i/>
        </w:rPr>
        <w:t>a</w:t>
      </w:r>
      <w:r w:rsidRPr="003532DF">
        <w:t xml:space="preserve">, likely due to elevation of the ζ-carotene triplet energy state above that of BChl </w:t>
      </w:r>
      <w:r w:rsidRPr="003532DF">
        <w:rPr>
          <w:i/>
        </w:rPr>
        <w:t>a</w:t>
      </w:r>
      <w:r w:rsidRPr="003532DF">
        <w:t xml:space="preserve">. These findings provide insights into the coevolution of photosynthetic pigments and pigment–protein complexes. We propose that the </w:t>
      </w:r>
      <w:r w:rsidRPr="003532DF">
        <w:rPr>
          <w:i/>
        </w:rPr>
        <w:t>N</w:t>
      </w:r>
      <w:r w:rsidRPr="003532DF">
        <w:t xml:space="preserve"> ≥ 9 carotenoids found in light-harvesting antenna complexes represent a vital compromise that retains an acceptable level of energy transfer from carotenoids to (B)Chls while allowing acquisition of a new, essential function, namely, photoprotective quenching of harmful (B)Chl triplets.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Ninković, D.B., Blagojević Filipović, J.P., Hall, M.B., Brothers, E.N., Zarić, S.D., </w:t>
      </w:r>
      <w:r w:rsidR="00616347">
        <w:t xml:space="preserve">2020. </w:t>
      </w:r>
      <w:r w:rsidRPr="003532DF">
        <w:t>What is special about aromatic–aromatic interactions? Significant attraction at large horizontal displacement. ACS Central Science 6, 420-425.</w:t>
      </w:r>
    </w:p>
    <w:p w:rsidR="00DB42FE" w:rsidRPr="003532DF" w:rsidRDefault="00DB42FE" w:rsidP="00616347">
      <w:pPr>
        <w:pStyle w:val="EndNoteBibliography"/>
        <w:ind w:left="360"/>
      </w:pPr>
      <w:r w:rsidRPr="003532DF">
        <w:lastRenderedPageBreak/>
        <w:t>https://doi.org/10.1021/acscentsci.0c00005</w:t>
      </w:r>
    </w:p>
    <w:p w:rsidR="00DB42FE" w:rsidRPr="003532DF" w:rsidRDefault="00DB42FE" w:rsidP="00616347">
      <w:pPr>
        <w:pStyle w:val="EndNoteBibliography"/>
        <w:spacing w:after="0"/>
        <w:ind w:left="360"/>
      </w:pPr>
      <w:r w:rsidRPr="003532DF">
        <w:t xml:space="preserve">High-level </w:t>
      </w:r>
      <w:r w:rsidRPr="003532DF">
        <w:rPr>
          <w:i/>
        </w:rPr>
        <w:t>ab initio</w:t>
      </w:r>
      <w:r w:rsidRPr="003532DF">
        <w:t xml:space="preserve"> calculations show that the most stable stacking for benzene–cyclohexane is 17% stronger than that for benzene–benzene. However, as these systems are displaced horizontally the benzene–benzene attraction retains its strength. At a displacement of 5.0 Å, the benzene–benzene attraction is still </w:t>
      </w:r>
      <w:r w:rsidRPr="003532DF">
        <w:rPr>
          <w:rFonts w:ascii="Cambria Math" w:hAnsi="Cambria Math" w:cs="Cambria Math"/>
        </w:rPr>
        <w:t>∼</w:t>
      </w:r>
      <w:r w:rsidRPr="003532DF">
        <w:t>70% of its maximum strength, while benzene</w:t>
      </w:r>
      <w:r w:rsidRPr="003532DF">
        <w:rPr>
          <w:rFonts w:cs="Calibri"/>
        </w:rPr>
        <w:t>–</w:t>
      </w:r>
      <w:r w:rsidRPr="003532DF">
        <w:t xml:space="preserve">cyclohexane attraction has fallen to </w:t>
      </w:r>
      <w:r w:rsidRPr="003532DF">
        <w:rPr>
          <w:rFonts w:ascii="Cambria Math" w:hAnsi="Cambria Math" w:cs="Cambria Math"/>
        </w:rPr>
        <w:t>∼</w:t>
      </w:r>
      <w:r w:rsidRPr="003532DF">
        <w:t>40% of its maximum strength. Alternatively, the radius of attraction (&gt;2.0 kcal/mol) for benzene</w:t>
      </w:r>
      <w:r w:rsidRPr="003532DF">
        <w:rPr>
          <w:rFonts w:cs="Calibri"/>
        </w:rPr>
        <w:t>–</w:t>
      </w:r>
      <w:r w:rsidRPr="003532DF">
        <w:t>benzene is 250% larger than that for benzene</w:t>
      </w:r>
      <w:r w:rsidRPr="003532DF">
        <w:rPr>
          <w:rFonts w:cs="Calibri"/>
        </w:rPr>
        <w:t>–</w:t>
      </w:r>
      <w:r w:rsidRPr="003532DF">
        <w:t>cyclohexane. Thus, at relatively large distances aromatic rings can recognize each other, a phenomenon that helps explain their importance in protein folding and supramolecular structures.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Nisbet, E.G., Fisher, R.E., Lowry, D., France, J.L., Allen, G., Bakkaloglu, S., Broderick, T.J., Cain, M., Coleman, M., Fernandez, J., Forster, G., Griffiths, P.T., Iverach, C.P., Kelly, B.F.J., Manning, M.R., Nisbet-Jones, P.B.R., Pyle, J.A., Townsend-Small, A., al-Shalaan, A., Warwick, N., Zazzeri, G., </w:t>
      </w:r>
      <w:r w:rsidR="00616347">
        <w:t xml:space="preserve">2020. </w:t>
      </w:r>
      <w:r w:rsidRPr="003532DF">
        <w:t>Methane mitigation: Methods to reduce emissions, on the path to the Paris Agreement. Reviews of Geophysics 58, e2019RG000675.</w:t>
      </w:r>
    </w:p>
    <w:p w:rsidR="00DB42FE" w:rsidRPr="003532DF" w:rsidRDefault="00DB42FE" w:rsidP="00616347">
      <w:pPr>
        <w:pStyle w:val="EndNoteBibliography"/>
        <w:ind w:left="360"/>
      </w:pPr>
      <w:r w:rsidRPr="003532DF">
        <w:t>https://doi.org/10.1029/2019RG000675</w:t>
      </w:r>
    </w:p>
    <w:p w:rsidR="00DB42FE" w:rsidRPr="003532DF" w:rsidRDefault="00DB42FE" w:rsidP="00616347">
      <w:pPr>
        <w:pStyle w:val="EndNoteBibliography"/>
        <w:ind w:left="360"/>
      </w:pPr>
      <w:r w:rsidRPr="003532DF">
        <w:t>Abstract: The atmospheric methane burden is increasing rapidly, contrary to pathways compatible with the goals of the 2015 United Nations Framework Convention on Climate Change Paris Agreement. Urgent action is required to bring methane back to a pathway more in line with the Paris goals. Emission reduction from “tractable” (easier to mitigate) anthropogenic sources such as the fossil fuel industries and landfills is being much facilitated by technical advances in the past decade, which have radically improved our ability to locate, identify, quantify, and reduce emissions. Measures to reduce emissions from “intractable” (harder to mitigate) anthropogenic sources such as agriculture and biomass burning have received less attention and are also becoming more feasible, including removal from elevated‐methane ambient air near to sources. The wider effort to use microbiological and dietary intervention to reduce emissions from cattle (and humans) is not addressed in detail in this essentially geophysical review. Though they cannot replace the need to reach “net‐zero” emissions of CO</w:t>
      </w:r>
      <w:r w:rsidRPr="003532DF">
        <w:rPr>
          <w:vertAlign w:val="subscript"/>
        </w:rPr>
        <w:t>2</w:t>
      </w:r>
      <w:r w:rsidRPr="003532DF">
        <w:t>, significant reductions in the methane burden will ease the timescales needed to reach required CO</w:t>
      </w:r>
      <w:r w:rsidRPr="003532DF">
        <w:rPr>
          <w:vertAlign w:val="subscript"/>
        </w:rPr>
        <w:t>2</w:t>
      </w:r>
      <w:r w:rsidRPr="003532DF">
        <w:t xml:space="preserve"> reduction targets for any particular future temperature limit. There is no single magic bullet, but implementation of a wide array of mitigation and emission reduction strategies could substantially cut the global methane burden, at a cost that is relatively low compared to the parallel and necessary measures to reduce CO</w:t>
      </w:r>
      <w:r w:rsidRPr="003532DF">
        <w:rPr>
          <w:vertAlign w:val="subscript"/>
        </w:rPr>
        <w:t>2</w:t>
      </w:r>
      <w:r w:rsidRPr="003532DF">
        <w:t>, and thereby reduce the atmospheric methane burden back toward pathways consistent with the goals of the Paris Agreement.</w:t>
      </w:r>
    </w:p>
    <w:p w:rsidR="00DB42FE" w:rsidRPr="003532DF" w:rsidRDefault="00DB42FE" w:rsidP="00616347">
      <w:pPr>
        <w:pStyle w:val="EndNoteBibliography"/>
        <w:spacing w:after="0"/>
        <w:ind w:left="360"/>
      </w:pPr>
      <w:r w:rsidRPr="003532DF">
        <w:t>Plain Language Summary:</w:t>
      </w:r>
      <w:r w:rsidRPr="003532DF">
        <w:rPr>
          <w:b/>
        </w:rPr>
        <w:t xml:space="preserve"> </w:t>
      </w:r>
      <w:r w:rsidRPr="003532DF">
        <w:t xml:space="preserve">Methane is a powerful climate warmer, and the amount of methane in the air is growing rapidly. Reducing human‐caused methane emissions is urgent if the 2015 United Nations Paris Agreement to limit climate warming is to succeed. There is hope, though the problem of methane mitigation is very wide and complex. Much of the task is in finding, identifying, and quantifying emissions. Rapid technical advances are making it much easier to locate and thus cut emissions from fossil fuel industries (gas, coal, and oil). Assessing emissions from landfill and sewage facilities is also becoming easier. In particular, poorly regulated landfills in fast‐growing tropical megacities need attention. Agricultural emissions are less tractable but may also be reduced to some extent, especially by improving manure management. Many methane mitigation options offer </w:t>
      </w:r>
      <w:r w:rsidRPr="003532DF">
        <w:lastRenderedPageBreak/>
        <w:t>cost‐effective approaches to cut global warming and bring the amount of methane in the air back to a pathway that is consistent with the aims of the Paris Agreement.</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Nunan, N., Schmidt, H., Raynaud, X., </w:t>
      </w:r>
      <w:r w:rsidR="00616347">
        <w:t xml:space="preserve">2020. </w:t>
      </w:r>
      <w:r w:rsidRPr="003532DF">
        <w:t>The ecology of heterogeneity: soil bacterial communities and C dynamics. Philosophical Transactions of the Royal Society B: Biological Sciences 375, 20190249.</w:t>
      </w:r>
    </w:p>
    <w:p w:rsidR="00DB42FE" w:rsidRPr="003532DF" w:rsidRDefault="00DB42FE" w:rsidP="00616347">
      <w:pPr>
        <w:pStyle w:val="EndNoteBibliography"/>
        <w:ind w:left="360"/>
      </w:pPr>
      <w:r w:rsidRPr="003532DF">
        <w:t>https://doi.org/10.1098/rstb.2019.0249</w:t>
      </w:r>
    </w:p>
    <w:p w:rsidR="00DB42FE" w:rsidRPr="003532DF" w:rsidRDefault="00DB42FE" w:rsidP="00616347">
      <w:pPr>
        <w:pStyle w:val="EndNoteBibliography"/>
        <w:spacing w:after="0"/>
        <w:ind w:left="360"/>
      </w:pPr>
      <w:r w:rsidRPr="003532DF">
        <w:t>Heterogeneity is a fundamental property of soil that is often overlooked in microbial ecology. Although it is generally accepted that the heterogeneity of soil underpins the emergence and maintenance of microbial diversity, the profound and far-reaching consequences that heterogeneity can have on many aspects of microbial ecology and activity have yet to be fully apprehended and have not been fully integrated into our understanding of microbial functioning. In this contribution we first discuss how the heterogeneity of the soil microbial environment, and the consequent uncertainty associated with acquiring resources, may have affected how microbial metabolism, motility and interactions evolved and, ultimately, the overall microbial activity that is represented in ecosystem models, such as heterotrophic decomposition or respiration. We then present an analysis of predicted metabolic pathways for soil bacteria, obtained from the MetaCyc pathway/genome database collection (https://metacyc.org/). The analysis suggests that while there is a relationship between phylogenic affiliation and the catabolic range of soil bacterial taxa, there does not appear to be a trade-off between the 16S rRNA gene copy number, taken as a proxy of potential growth rate, of bacterial strains and the range of substrates that can be used. Finally, we present a simple, spatially explicit model that can be used to understand how the interactions between decomposers and environmental heterogeneity affect the bacterial decomposition of organic matter, suggesting that environmental heterogeneity might have important consequences on the variability of this process.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O’Shea, K., Misra, B.B., </w:t>
      </w:r>
      <w:r w:rsidR="00616347">
        <w:t xml:space="preserve">2020. </w:t>
      </w:r>
      <w:r w:rsidRPr="003532DF">
        <w:t>Software tools, databases and resources in metabolomics: updates from 2018 to 2019. Metabolomics 16, 36.</w:t>
      </w:r>
    </w:p>
    <w:p w:rsidR="00DB42FE" w:rsidRPr="003532DF" w:rsidRDefault="00DB42FE" w:rsidP="00616347">
      <w:pPr>
        <w:pStyle w:val="EndNoteBibliography"/>
        <w:ind w:left="360"/>
      </w:pPr>
      <w:r w:rsidRPr="003532DF">
        <w:t>https://doi.org/10.1007/s11306-020-01657-3</w:t>
      </w:r>
    </w:p>
    <w:p w:rsidR="00DB42FE" w:rsidRPr="003532DF" w:rsidRDefault="00DB42FE" w:rsidP="00616347">
      <w:pPr>
        <w:pStyle w:val="EndNoteBibliography"/>
        <w:spacing w:after="0"/>
        <w:ind w:left="360"/>
      </w:pPr>
      <w:r w:rsidRPr="003532DF">
        <w:t>Metabolomics has evolved as a discipline from a discovery and functional genomics tool, and is now a cornerstone in the era of big data-driven precision medicine. Sample preparation strategies and analytical technologies have seen enormous growth, and keeping pace with data analytics is challenging, to say the least. This review introduces and briefly presents around 100 metabolomics software resources, tools, databases, and other utilities that have surfaced or have improved in 2019. Table 1 provides the computational dependencies of the tools, categorizes the resources based on utility and ease of use, and provides hyperlinks to webpages where the tools can be downloaded or used. This review intends to keep the community of metabolomics researchers up to date with all the software tools, resources, and databases developed in 2019, in one place.</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Ogala, J.E., Kalaitzidis, S., Rizos, A.-M., Christanis, K., Omo-Irabor, O.O., Adaikpoh, E.O., Ejeh, O.I., Papaefthymiou, H., </w:t>
      </w:r>
      <w:r w:rsidR="00616347">
        <w:t xml:space="preserve">2020. </w:t>
      </w:r>
      <w:r w:rsidRPr="003532DF">
        <w:t>Petrographic and mineralogical study of extended outcrops of lignite layers in Agbor area, southern Nigeria. Journal of African Earth Sciences 164, 103659.</w:t>
      </w:r>
    </w:p>
    <w:p w:rsidR="00DB42FE" w:rsidRPr="003532DF" w:rsidRDefault="00DB42FE" w:rsidP="00616347">
      <w:pPr>
        <w:pStyle w:val="EndNoteBibliography"/>
        <w:ind w:left="360"/>
      </w:pPr>
      <w:r w:rsidRPr="003532DF">
        <w:t>http://www.sciencedirect.com/science/article/pii/S1464343X19303140</w:t>
      </w:r>
    </w:p>
    <w:p w:rsidR="00DB42FE" w:rsidRPr="003532DF" w:rsidRDefault="00DB42FE" w:rsidP="00616347">
      <w:pPr>
        <w:pStyle w:val="EndNoteBibliography"/>
        <w:spacing w:after="0"/>
        <w:ind w:left="360"/>
      </w:pPr>
      <w:r w:rsidRPr="003532DF">
        <w:lastRenderedPageBreak/>
        <w:t xml:space="preserve">Coal layers up to 1 m thick, exposed mainly on river banks in the vicinity of Agbor, Okhuokhuo and Ubiaja, Southern Nigeria, were examined by means of organic petrology, mineralogy and geochemistry, in order to gain coal quality data and understand the palaeoenvironmental conditions during peat accumulation in the broad area of the Ogwashi-Asaba Formation. The obtained results show that coal is of low-rank C; it overlies mainly claystone derived from flooding of branches of the palaeo-Niger River. The precursor peat was accumulating in mires under mesotrophic to ombrotrophic, anoxic conditions. The peat-forming vegetation represented mainly herbaceous plants with minor tree contribution. Though the number of studied samples is low, the distribution of the lignite layers extends further towards N.NW of the known lignite-bearing area. Taking into consideration the low ash yields of some samples, there are encouraging indications for notable lignite deposits of high quality. The mineralogical composition and the activity concentrations of </w:t>
      </w:r>
      <w:r w:rsidRPr="003532DF">
        <w:rPr>
          <w:vertAlign w:val="superscript"/>
        </w:rPr>
        <w:t>238</w:t>
      </w:r>
      <w:r w:rsidRPr="003532DF">
        <w:t xml:space="preserve">U, </w:t>
      </w:r>
      <w:r w:rsidRPr="003532DF">
        <w:rPr>
          <w:vertAlign w:val="superscript"/>
        </w:rPr>
        <w:t>226</w:t>
      </w:r>
      <w:r w:rsidRPr="003532DF">
        <w:t xml:space="preserve">Ra, </w:t>
      </w:r>
      <w:r w:rsidRPr="003532DF">
        <w:rPr>
          <w:vertAlign w:val="superscript"/>
        </w:rPr>
        <w:t>232</w:t>
      </w:r>
      <w:r w:rsidRPr="003532DF">
        <w:t xml:space="preserve">Th and </w:t>
      </w:r>
      <w:r w:rsidRPr="003532DF">
        <w:rPr>
          <w:vertAlign w:val="superscript"/>
        </w:rPr>
        <w:t>40</w:t>
      </w:r>
      <w:r w:rsidRPr="003532DF">
        <w:t>K exclude any severe environmental effect from coal exploitation. Due to all these promising evidences, a detailed exploration in these and between these outcrops is recommended in order to estimate the lignite potential hosted in this area.</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Ojumoola, O., Ma, H., Gu, Y., </w:t>
      </w:r>
      <w:r w:rsidR="00616347">
        <w:t xml:space="preserve">2020. </w:t>
      </w:r>
      <w:r w:rsidRPr="003532DF">
        <w:t>Solvent-assisted water pressure cycling (SA-WPC) process in a thin heavy oil reservoir. Fuel 270, 117195.</w:t>
      </w:r>
    </w:p>
    <w:p w:rsidR="00DB42FE" w:rsidRPr="003532DF" w:rsidRDefault="00DB42FE" w:rsidP="00616347">
      <w:pPr>
        <w:pStyle w:val="EndNoteBibliography"/>
        <w:ind w:left="360"/>
      </w:pPr>
      <w:r w:rsidRPr="003532DF">
        <w:t>http://www.sciencedirect.com/science/article/pii/S0016236120301903</w:t>
      </w:r>
    </w:p>
    <w:p w:rsidR="00DB42FE" w:rsidRPr="003532DF" w:rsidRDefault="00DB42FE" w:rsidP="00616347">
      <w:pPr>
        <w:pStyle w:val="EndNoteBibliography"/>
        <w:spacing w:after="0"/>
        <w:ind w:left="360"/>
      </w:pPr>
      <w:r w:rsidRPr="003532DF">
        <w:t xml:space="preserve">In this paper, solvent-assisted water pressure cycling (SA-WPC) was developed as a new and effective enhanced heavy oil recovery process. Two respective series of WPC and SA-WPC tests were conducted by using a rectangular sandpacked physical model with a two-well configuration and a height-to-length ratio of 1:20 to represent a thin heavy oil reservoir. Three WPC tests were initiated after the primary production pressure declined from </w:t>
      </w:r>
      <w:r w:rsidRPr="003532DF">
        <w:rPr>
          <w:i/>
        </w:rPr>
        <w:t>P</w:t>
      </w:r>
      <w:r w:rsidRPr="003532DF">
        <w:rPr>
          <w:vertAlign w:val="subscript"/>
        </w:rPr>
        <w:t>i</w:t>
      </w:r>
      <w:r w:rsidRPr="003532DF">
        <w:t xml:space="preserve"> = 3.0 MPa to </w:t>
      </w:r>
      <w:r w:rsidRPr="003532DF">
        <w:rPr>
          <w:i/>
        </w:rPr>
        <w:t>P</w:t>
      </w:r>
      <w:r w:rsidRPr="003532DF">
        <w:rPr>
          <w:vertAlign w:val="subscript"/>
        </w:rPr>
        <w:t>f</w:t>
      </w:r>
      <w:r w:rsidRPr="003532DF">
        <w:t xml:space="preserve"> = 2.0, 1.0, and 0.2 MPa, respectively. Moreover, three C</w:t>
      </w:r>
      <w:r w:rsidRPr="003532DF">
        <w:rPr>
          <w:vertAlign w:val="subscript"/>
        </w:rPr>
        <w:t>3</w:t>
      </w:r>
      <w:r w:rsidRPr="003532DF">
        <w:t>H</w:t>
      </w:r>
      <w:r w:rsidRPr="003532DF">
        <w:rPr>
          <w:vertAlign w:val="subscript"/>
        </w:rPr>
        <w:t>8</w:t>
      </w:r>
      <w:r w:rsidRPr="003532DF">
        <w:t>-SA-WPC tests and one CO</w:t>
      </w:r>
      <w:r w:rsidRPr="003532DF">
        <w:rPr>
          <w:vertAlign w:val="subscript"/>
        </w:rPr>
        <w:t>2</w:t>
      </w:r>
      <w:r w:rsidRPr="003532DF">
        <w:t xml:space="preserve">-SA-WPC test were commenced after the final primary production pressure of </w:t>
      </w:r>
      <w:r w:rsidRPr="003532DF">
        <w:rPr>
          <w:i/>
        </w:rPr>
        <w:t>P</w:t>
      </w:r>
      <w:r w:rsidRPr="003532DF">
        <w:rPr>
          <w:vertAlign w:val="subscript"/>
        </w:rPr>
        <w:t>f</w:t>
      </w:r>
      <w:r w:rsidRPr="003532DF">
        <w:t xml:space="preserve"> = 0.2 MPa was reached. It was found that the three WPC tests had the total heavy oil recovery factors (RFs) of 23.0%, 29.4%, and 22.0%, respectively. In comparison, the four SA-WPC tests had the total heavy oil RFs of 62.0% for C</w:t>
      </w:r>
      <w:r w:rsidRPr="003532DF">
        <w:rPr>
          <w:vertAlign w:val="subscript"/>
        </w:rPr>
        <w:t>3</w:t>
      </w:r>
      <w:r w:rsidRPr="003532DF">
        <w:t>H</w:t>
      </w:r>
      <w:r w:rsidRPr="003532DF">
        <w:rPr>
          <w:vertAlign w:val="subscript"/>
        </w:rPr>
        <w:t>8</w:t>
      </w:r>
      <w:r w:rsidRPr="003532DF">
        <w:t>-SA-WPC with the pressure depletion step size of Δ</w:t>
      </w:r>
      <w:r w:rsidRPr="003532DF">
        <w:rPr>
          <w:i/>
        </w:rPr>
        <w:t>P</w:t>
      </w:r>
      <w:r w:rsidRPr="003532DF">
        <w:rPr>
          <w:vertAlign w:val="subscript"/>
        </w:rPr>
        <w:t>EOR</w:t>
      </w:r>
      <w:r w:rsidRPr="003532DF">
        <w:t xml:space="preserve"> = 0.1 MPa, 68.4% for C</w:t>
      </w:r>
      <w:r w:rsidRPr="003532DF">
        <w:rPr>
          <w:vertAlign w:val="subscript"/>
        </w:rPr>
        <w:t>3</w:t>
      </w:r>
      <w:r w:rsidRPr="003532DF">
        <w:t>H</w:t>
      </w:r>
      <w:r w:rsidRPr="003532DF">
        <w:rPr>
          <w:vertAlign w:val="subscript"/>
        </w:rPr>
        <w:t>8</w:t>
      </w:r>
      <w:r w:rsidRPr="003532DF">
        <w:t>-SA-WPC at Δ</w:t>
      </w:r>
      <w:r w:rsidRPr="003532DF">
        <w:rPr>
          <w:i/>
        </w:rPr>
        <w:t>P</w:t>
      </w:r>
      <w:r w:rsidRPr="003532DF">
        <w:rPr>
          <w:vertAlign w:val="subscript"/>
        </w:rPr>
        <w:t>EOR</w:t>
      </w:r>
      <w:r w:rsidRPr="003532DF">
        <w:t xml:space="preserve"> = 0.5 MPa, 42.3% for C</w:t>
      </w:r>
      <w:r w:rsidRPr="003532DF">
        <w:rPr>
          <w:vertAlign w:val="subscript"/>
        </w:rPr>
        <w:t>3</w:t>
      </w:r>
      <w:r w:rsidRPr="003532DF">
        <w:t>H</w:t>
      </w:r>
      <w:r w:rsidRPr="003532DF">
        <w:rPr>
          <w:vertAlign w:val="subscript"/>
        </w:rPr>
        <w:t>8</w:t>
      </w:r>
      <w:r w:rsidRPr="003532DF">
        <w:t>-SA-WPC at Δ</w:t>
      </w:r>
      <w:r w:rsidRPr="003532DF">
        <w:rPr>
          <w:i/>
        </w:rPr>
        <w:t>P</w:t>
      </w:r>
      <w:r w:rsidRPr="003532DF">
        <w:rPr>
          <w:vertAlign w:val="subscript"/>
        </w:rPr>
        <w:t>EOR</w:t>
      </w:r>
      <w:r w:rsidRPr="003532DF">
        <w:t xml:space="preserve"> = 1.0 MPa, and 29.2% for CO</w:t>
      </w:r>
      <w:r w:rsidRPr="003532DF">
        <w:rPr>
          <w:vertAlign w:val="subscript"/>
        </w:rPr>
        <w:t>2</w:t>
      </w:r>
      <w:r w:rsidRPr="003532DF">
        <w:t>-SA-WPC at Δ</w:t>
      </w:r>
      <w:r w:rsidRPr="003532DF">
        <w:rPr>
          <w:i/>
        </w:rPr>
        <w:t>P</w:t>
      </w:r>
      <w:r w:rsidRPr="003532DF">
        <w:rPr>
          <w:vertAlign w:val="subscript"/>
        </w:rPr>
        <w:t>EOR</w:t>
      </w:r>
      <w:r w:rsidRPr="003532DF">
        <w:t xml:space="preserve"> = 0.5 MPa, respectively. Overall, SA-WPC performed much better than WPC because of effective solvent dissolution to reduce the heavy oil viscosity as well as combined enhanced oil recovery (EOR) and improved oil recovery (IOR) mechanisms. The experimental data showed that C</w:t>
      </w:r>
      <w:r w:rsidRPr="003532DF">
        <w:rPr>
          <w:vertAlign w:val="subscript"/>
        </w:rPr>
        <w:t>3</w:t>
      </w:r>
      <w:r w:rsidRPr="003532DF">
        <w:t>H</w:t>
      </w:r>
      <w:r w:rsidRPr="003532DF">
        <w:rPr>
          <w:vertAlign w:val="subscript"/>
        </w:rPr>
        <w:t>8</w:t>
      </w:r>
      <w:r w:rsidRPr="003532DF">
        <w:t xml:space="preserve"> was a far more effective solvent than CO</w:t>
      </w:r>
      <w:r w:rsidRPr="003532DF">
        <w:rPr>
          <w:vertAlign w:val="subscript"/>
        </w:rPr>
        <w:t>2</w:t>
      </w:r>
      <w:r w:rsidRPr="003532DF">
        <w:t xml:space="preserve"> when the same solvent injection pressure was used. It was also found that the intermediate pressure depletion step size of Δ</w:t>
      </w:r>
      <w:r w:rsidRPr="003532DF">
        <w:rPr>
          <w:i/>
        </w:rPr>
        <w:t>P</w:t>
      </w:r>
      <w:r w:rsidRPr="003532DF">
        <w:rPr>
          <w:vertAlign w:val="subscript"/>
        </w:rPr>
        <w:t>EOR</w:t>
      </w:r>
      <w:r w:rsidRPr="003532DF">
        <w:t xml:space="preserve"> = 0.5 MPa resulted in the highest heavy oil RF among the three C</w:t>
      </w:r>
      <w:r w:rsidRPr="003532DF">
        <w:rPr>
          <w:vertAlign w:val="subscript"/>
        </w:rPr>
        <w:t>3</w:t>
      </w:r>
      <w:r w:rsidRPr="003532DF">
        <w:t>H</w:t>
      </w:r>
      <w:r w:rsidRPr="003532DF">
        <w:rPr>
          <w:vertAlign w:val="subscript"/>
        </w:rPr>
        <w:t>8</w:t>
      </w:r>
      <w:r w:rsidRPr="003532DF">
        <w:t>-SA-WPC tests.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Okada, T., Fukuhara, T., Tanaka, S., Taguchi, M., Arai, T., Senshu, H., Sakatani, N., Shimaki, Y., Demura, H., Ogawa, Y., Suko, K., Sekiguchi, T., Kouyama, T., Takita, J., Matsunaga, T., Imamura, T., Wada, T., Hasegawa, S., Helbert, J., Müller, T.G., Hagermann, A., Biele, J., Grott, M., Hamm, M., Delbo, M., Hirata, N., Hirata, N., Yamamoto, Y., Sugita, S., Namiki, N., Kitazato, K., Arakawa, M., Tachibana, S., Ikeda, H., Ishiguro, M., Wada, K., Honda, C., Honda, R., Ishihara, Y., Matsumoto, K., Matsuoka, M., Michikami, T., Miura, A., Morota, T., Noda, H., Noguchi, R., Ogawa, K., Shirai, K., Tatsumi, E., Yabuta, H., Yokota, Y., Yamada, M., Abe, M., Hayakawa, M., Iwata, T., Ozaki, M., Yano, H., Hosoda, S., Mori, O., Sawada, H., Shimada, T., Takeuchi, H., Tsukizaki, R., Fujii, A., Hirose, C., Kikuchi, S., Mimasu, Y., Ogawa, N., Ono, G., Takahashi, T., Takei, Y., Yamaguchi, T., Yoshikawa, K., Terui, F., Saiki, T., </w:t>
      </w:r>
      <w:r w:rsidRPr="003532DF">
        <w:lastRenderedPageBreak/>
        <w:t xml:space="preserve">Nakazawa, S., Yoshikawa, M., Watanabe, S., Tsuda, Y., </w:t>
      </w:r>
      <w:r w:rsidR="00616347">
        <w:t xml:space="preserve">2020. </w:t>
      </w:r>
      <w:r w:rsidRPr="003532DF">
        <w:t>Highly porous nature of a primitive asteroid revealed by thermal imaging. Nature 579, 518-522.</w:t>
      </w:r>
    </w:p>
    <w:p w:rsidR="00DB42FE" w:rsidRPr="003532DF" w:rsidRDefault="00DB42FE" w:rsidP="00616347">
      <w:pPr>
        <w:pStyle w:val="EndNoteBibliography"/>
        <w:ind w:left="360"/>
      </w:pPr>
      <w:r w:rsidRPr="003532DF">
        <w:t>https://doi.org/10.1038/s41586-020-2102-6</w:t>
      </w:r>
    </w:p>
    <w:p w:rsidR="00DB42FE" w:rsidRPr="003532DF" w:rsidRDefault="00DB42FE" w:rsidP="00616347">
      <w:pPr>
        <w:pStyle w:val="EndNoteBibliography"/>
        <w:spacing w:after="0"/>
        <w:ind w:left="360"/>
      </w:pPr>
      <w:r w:rsidRPr="003532DF">
        <w:t>Carbonaceous (C-type) asteroids are relics of the early Solar System that have preserved primitive materials since their formation approximately 4.6 billion years ago. They are probably analogues of carbonaceous chondrites and are essential for understanding planetary formation processes. However, their physical properties remain poorly known because carbonaceous chondrite meteoroids tend not to survive entry to Earth’s atmosphere. Here we report on global one-rotation thermographic images of the C-type asteroid 162173 Ryugu, taken by the thermal infrared imager (TIR) onboard the spacecraft Hayabusa2, indicating that the asteroid’s boulders and their surroundings have similar temperatures, with a derived thermal inertia of about 300 J m</w:t>
      </w:r>
      <w:r w:rsidRPr="003532DF">
        <w:rPr>
          <w:vertAlign w:val="superscript"/>
        </w:rPr>
        <w:t>−2</w:t>
      </w:r>
      <w:r w:rsidRPr="003532DF">
        <w:t xml:space="preserve"> s</w:t>
      </w:r>
      <w:r w:rsidRPr="003532DF">
        <w:rPr>
          <w:vertAlign w:val="superscript"/>
        </w:rPr>
        <w:t>−0.5</w:t>
      </w:r>
      <w:r w:rsidRPr="003532DF">
        <w:t xml:space="preserve"> K</w:t>
      </w:r>
      <w:r w:rsidRPr="003532DF">
        <w:rPr>
          <w:vertAlign w:val="superscript"/>
        </w:rPr>
        <w:t>−1</w:t>
      </w:r>
      <w:r w:rsidRPr="003532DF">
        <w:t xml:space="preserve"> (300 tiu). Contrary to predictions that the surface consists of regolith and dense boulders, this low thermal inertia suggests that the boulders are more porous than typical carbonaceous chondrites and that their surroundings are covered with porous fragments more than 10 centimetres in diameter. Close-up thermal images confirm the presence of such porous fragments and the flat diurnal temperature profiles suggest a strong surface roughness effect. We also observed in the close-up thermal images boulders that are colder during the day, with thermal inertia exceeding 600 tiu, corresponding to dense boulders similar to typical carbonaceous chondrites. These results constrain the formation history of Ryugu: the asteroid must be a rubble pile formed from impact fragments of a parent body with microporosity of approximately 30 to 50 per cent that experienced a low degree of consolidation. The dense boulders might have originated from the consolidated innermost region or they may have an exogenic origin. This high-porosity asteroid may link cosmic fluffy dust to dense celestial bodies.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Okshevsky, M., Gautier, E., Farner, J.M., Schreiber, L., Tufenkji, N., </w:t>
      </w:r>
      <w:r w:rsidR="00616347">
        <w:t xml:space="preserve">2020. </w:t>
      </w:r>
      <w:r w:rsidRPr="003532DF">
        <w:t>Biofilm formation by marine bacteria is impacted by concentration and surface functionalization of polystyrene nanoparticles in a species-specific manner. Environmental Microbiology Reports 12, 203-213.</w:t>
      </w:r>
    </w:p>
    <w:p w:rsidR="00DB42FE" w:rsidRPr="003532DF" w:rsidRDefault="00DB42FE" w:rsidP="00616347">
      <w:pPr>
        <w:pStyle w:val="EndNoteBibliography"/>
        <w:ind w:left="360"/>
      </w:pPr>
      <w:r w:rsidRPr="003532DF">
        <w:t>https://doi.org/10.1111/1758-2229.12824</w:t>
      </w:r>
    </w:p>
    <w:p w:rsidR="00DB42FE" w:rsidRPr="003532DF" w:rsidRDefault="00DB42FE" w:rsidP="00616347">
      <w:pPr>
        <w:pStyle w:val="EndNoteBibliography"/>
        <w:spacing w:after="0"/>
        <w:ind w:left="360"/>
      </w:pPr>
      <w:r w:rsidRPr="003532DF">
        <w:t>The world's oceans are becoming increasingly polluted by plastic waste. In the marine environment, larger plastic pieces may degrade into nanoscale (&lt;100 nm in at least one dimension) plastic particles due to natural weathering effects. We observe that the presence of 20 nm plastic nanoparticles at concentrations below 200 ppm had no impact on planktonic growth of a panel of heterotrophic marine bacteria. However, the presence of plastic nanoparticles significantly impacted the formation of biofilms in a species‐specific manner. While carboxylated nanoparticles increased the amount of biofilm formed by several species, amidine‐functionalized nanoparticles decreased the amount of biofilm of many but not all bacteria. Further experiments suggested that the aggregation dynamics of bacteria and nanoparticles were strongly impacted by the surface properties of the nanoparticles. The community structure of an artificially constructed community of marine bacteria was significantly altered by exposure to plastic nanoparticles, with differently functionalized nanoparticles selecting for unique and reproducible community abundance patterns. These results suggest that surface properties and concentration of plastic nanoparticles, as well as species interactions, are important factors determining how plastic nanoparticles impact biofilm formation by marine bacteria.</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lastRenderedPageBreak/>
        <w:t xml:space="preserve">Omand, M.M., Govindarajan, R., He, J., Mahadevan, A., </w:t>
      </w:r>
      <w:r w:rsidR="00616347">
        <w:t xml:space="preserve">2020. </w:t>
      </w:r>
      <w:r w:rsidRPr="003532DF">
        <w:t>Sinking flux of particulate organic matter in the oceans: Sensitivity to particle characteristics. Scientific Reports 10, 5582.</w:t>
      </w:r>
    </w:p>
    <w:p w:rsidR="00DB42FE" w:rsidRPr="003532DF" w:rsidRDefault="00DB42FE" w:rsidP="00616347">
      <w:pPr>
        <w:pStyle w:val="EndNoteBibliography"/>
        <w:ind w:left="360"/>
      </w:pPr>
      <w:r w:rsidRPr="003532DF">
        <w:t>https://doi.org/10.1038/s41598-020-60424-5</w:t>
      </w:r>
    </w:p>
    <w:p w:rsidR="00DB42FE" w:rsidRPr="003532DF" w:rsidRDefault="00DB42FE" w:rsidP="00616347">
      <w:pPr>
        <w:pStyle w:val="EndNoteBibliography"/>
        <w:spacing w:after="0"/>
        <w:ind w:left="360"/>
      </w:pPr>
      <w:r w:rsidRPr="003532DF">
        <w:t>The sinking of organic particles produced in the upper sunlit layers of the ocean forms an important limb of the oceanic biological pump, which impacts the sequestration of carbon and resupply of nutrients in the mesopelagic ocean. Particles raining out from the upper ocean undergo remineralization by bacteria colonized on their surface and interior, leading to an attenuation in the sinking flux of organic matter with depth. Here, we formulate a mechanistic model for the depth-dependent, sinking, particulate mass flux constituted by a range of sinking, remineralizing particles. Like previous studies, we find that the model does not achieve the characteristic ‘Martin curve’ flux profile with a single type of particle, but instead requires a distribution of particle sizes and/or properties. We consider various functional forms of remineralization appropriate for solid/compact particles, and aggregates with an anoxic or oxic interior. We explore the sensitivity of the shape of the flux vs. depth profile to the choice of remineralization function, relative particle density, particle size distribution, and water column density stratification, and find that neither a power-law nor exponential function provides a definitively superior fit to the modeled profiles. The profiles are also sensitive to the time history of the particle source. Varying surface particle size distribution (via the slope of the particle number spectrum) over 3 days to represent a transient phytoplankton bloom results in transient subsurface maxima or pulses in the sinking mass flux. This work contributes to a growing body of mechanistic export flux models that offer scope to incorporate underlying dynamical and biological processes into global carbon cycle models.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Orozco, D., Fragoso, A., Selvan, K., Noble, G., Aguilera, R., </w:t>
      </w:r>
      <w:r w:rsidR="00616347">
        <w:t xml:space="preserve">2020. </w:t>
      </w:r>
      <w:r w:rsidRPr="003532DF">
        <w:t>Eagle Ford huff ‘n’ puff gas-injection pilot: Comparison of reservoir-simulation, material balance, and real performance of the pilot well. SPE Reservoir Evaluation &amp; Engineering 23, 247-260.</w:t>
      </w:r>
    </w:p>
    <w:p w:rsidR="00DB42FE" w:rsidRPr="003532DF" w:rsidRDefault="00DB42FE" w:rsidP="00616347">
      <w:pPr>
        <w:pStyle w:val="EndNoteBibliography"/>
        <w:ind w:left="360"/>
      </w:pPr>
      <w:r w:rsidRPr="003532DF">
        <w:t>https://doi.org/10.2118/191575-PA</w:t>
      </w:r>
    </w:p>
    <w:p w:rsidR="00DB42FE" w:rsidRPr="003532DF" w:rsidRDefault="00DB42FE" w:rsidP="00616347">
      <w:pPr>
        <w:pStyle w:val="EndNoteBibliography"/>
        <w:ind w:left="360"/>
      </w:pPr>
      <w:r w:rsidRPr="003532DF">
        <w:t>In this study we compare real data from an Eagle Ford Shale huff ‘n’ puff (H&amp;P) gas-injection pilot with reservoir simulation and tank material-balance calculations. The comparison is good and supports the conclusion that oil recovery from the Eagle Ford (and likely other shales) can be increased significantly using H&amp;P.</w:t>
      </w:r>
    </w:p>
    <w:p w:rsidR="00DB42FE" w:rsidRPr="003532DF" w:rsidRDefault="00DB42FE" w:rsidP="00616347">
      <w:pPr>
        <w:pStyle w:val="EndNoteBibliography"/>
        <w:ind w:left="360"/>
      </w:pPr>
      <w:r w:rsidRPr="003532DF">
        <w:t>For H&amp;P to work, the injected gas and the in-situ oil in the shale must be contained vertically and laterally following hydraulic fracturing. Containment is critical for the success of H&amp;P. Containment implies that the injected gas flows into the hydraulic fractures, penetrates the tight matrix, and does not escape or leak outside the target stimulated reservoir volume (SRV). Vertical and lateral containment exists in the Eagle Ford as demonstrated previously (Ramirez and Aguilera 2016) with an upside-down distribution of fluids: Natural gas is at the bottom of the structure, condensate in the middle, and oil at the top. Two different matching and forecasting approaches are used in this study: reservoir simulation and tank-material-balance calculations.</w:t>
      </w:r>
    </w:p>
    <w:p w:rsidR="00DB42FE" w:rsidRPr="003532DF" w:rsidRDefault="00DB42FE" w:rsidP="00616347">
      <w:pPr>
        <w:pStyle w:val="EndNoteBibliography"/>
        <w:ind w:left="360"/>
      </w:pPr>
      <w:r w:rsidRPr="003532DF">
        <w:t xml:space="preserve">The results show a good history match of primary recovery and secondary recovery by H&amp;P in the pilot well. The history match is good in the case of both reservoir simulation and tank material-balance calculations. Once a match is obtained, the simulation and material balance are used to forecast secondary recovery over a period of 10 years with sustained H&amp;P injection of dry gas. The results indicate that dry-gas H&amp;P can increase oil recovery from the Eagle Ford Shale significantly. </w:t>
      </w:r>
      <w:r w:rsidRPr="003532DF">
        <w:lastRenderedPageBreak/>
        <w:t>Under favorable conditions, oil recovery can be doubled and even tripled over time compared with the primary recovery. The addition of heavier ends to the H&amp;P gas injection can increase oil recovery even more, putting it on par with recoveries in conventional reservoirs. The benefit of H&amp;P occurs in the case of both immiscible and miscible gas injection. The H&amp;P benefits can likely be also obtained in other shale reservoirs with upside-down containment of dry gas, condensate, and oil.</w:t>
      </w:r>
    </w:p>
    <w:p w:rsidR="00DB42FE" w:rsidRPr="003532DF" w:rsidRDefault="00DB42FE" w:rsidP="00616347">
      <w:pPr>
        <w:pStyle w:val="EndNoteBibliography"/>
        <w:spacing w:after="0"/>
        <w:ind w:left="360"/>
      </w:pPr>
      <w:r w:rsidRPr="003532DF">
        <w:t>The novelty of this work is the combined use of reservoir simulation and tank material-balance calculations to match the performance of an H&amp;P gas-injection pilot in the Eagle Ford Shale of Texas. We conclude that oil recoveries can be increased significantly by H&amp;P.</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Padian, K., </w:t>
      </w:r>
      <w:r w:rsidR="00616347">
        <w:t xml:space="preserve">2020. </w:t>
      </w:r>
      <w:r w:rsidRPr="003532DF">
        <w:t>Poultry through time. Nature 579, 351-352.</w:t>
      </w:r>
    </w:p>
    <w:p w:rsidR="00DB42FE" w:rsidRPr="003532DF" w:rsidRDefault="00DB42FE" w:rsidP="00616347">
      <w:pPr>
        <w:pStyle w:val="EndNoteBibliography"/>
        <w:ind w:left="360"/>
      </w:pPr>
      <w:r w:rsidRPr="003532DF">
        <w:t>https://www.nature.com/articles/d41586-020-00766-2</w:t>
      </w:r>
    </w:p>
    <w:p w:rsidR="00DB42FE" w:rsidRPr="003532DF" w:rsidRDefault="00DB42FE" w:rsidP="00616347">
      <w:pPr>
        <w:pStyle w:val="EndNoteBibliography"/>
        <w:ind w:left="360"/>
      </w:pPr>
      <w:r w:rsidRPr="003532DF">
        <w:t xml:space="preserve">A newly discovered 66.7-million-year-old fossil bird excavated in Belgium provides us with the best evidence so far for understanding when the living groups of birds first evolved and began to diverge. </w:t>
      </w:r>
    </w:p>
    <w:p w:rsidR="00DB42FE" w:rsidRPr="003532DF" w:rsidRDefault="00DB42FE" w:rsidP="00616347">
      <w:pPr>
        <w:pStyle w:val="EndNoteBibliography"/>
        <w:ind w:left="360"/>
      </w:pPr>
      <w:r w:rsidRPr="003532DF">
        <w:t xml:space="preserve">The living groups of birds are amazingly diverse, numbering some 10,000 species, and endlessly fascinating. But when did they first evolve? The answer depends on how you define a bird, how you recognize the most basal (earliest diverging) birds in the fossil record, and how you account for the palaeontological and genetic gaps in our knowledge of bird evolution. </w:t>
      </w:r>
      <w:r w:rsidRPr="003532DF">
        <w:rPr>
          <w:u w:val="single"/>
        </w:rPr>
        <w:t xml:space="preserve">Writing in </w:t>
      </w:r>
      <w:r w:rsidRPr="003532DF">
        <w:rPr>
          <w:i/>
          <w:u w:val="single"/>
        </w:rPr>
        <w:t>Nature</w:t>
      </w:r>
      <w:r w:rsidRPr="003532DF">
        <w:t xml:space="preserve">, Field </w:t>
      </w:r>
      <w:r w:rsidRPr="003532DF">
        <w:rPr>
          <w:i/>
        </w:rPr>
        <w:t>et al</w:t>
      </w:r>
      <w:r w:rsidRPr="003532DF">
        <w:t>.</w:t>
      </w:r>
      <w:r w:rsidRPr="003532DF">
        <w:rPr>
          <w:u w:val="single"/>
          <w:vertAlign w:val="superscript"/>
        </w:rPr>
        <w:t>1</w:t>
      </w:r>
      <w:r w:rsidRPr="003532DF">
        <w:t xml:space="preserve"> report the discovery of a fossil bird from 66.7 million years (Myr) ago, during the Late Cretaceous period, the most recent point in time currently known when the first representatives of today’s birds evolved. In the process, the authors offer what might be a useful corrective to genetics-based estimates of the timing of bird diversification.</w:t>
      </w:r>
    </w:p>
    <w:p w:rsidR="00DB42FE" w:rsidRPr="003532DF" w:rsidRDefault="00DB42FE" w:rsidP="00616347">
      <w:pPr>
        <w:pStyle w:val="EndNoteBibliography"/>
        <w:ind w:left="360"/>
      </w:pPr>
      <w:r w:rsidRPr="003532DF">
        <w:t xml:space="preserve">Most narratives of bird evolution begin with the pioneer </w:t>
      </w:r>
      <w:r w:rsidRPr="003532DF">
        <w:rPr>
          <w:i/>
        </w:rPr>
        <w:t>Archaeopteryx</w:t>
      </w:r>
      <w:r w:rsidRPr="003532DF">
        <w:t>, which first took wing in the Late Jurassic period (some 150 Myr ago) in present-day Germany</w:t>
      </w:r>
      <w:r w:rsidRPr="003532DF">
        <w:rPr>
          <w:u w:val="single"/>
          <w:vertAlign w:val="superscript"/>
        </w:rPr>
        <w:t>2</w:t>
      </w:r>
      <w:r w:rsidRPr="003532DF">
        <w:t xml:space="preserve">. </w:t>
      </w:r>
      <w:r w:rsidRPr="003532DF">
        <w:rPr>
          <w:i/>
        </w:rPr>
        <w:t>Archaeopteryx</w:t>
      </w:r>
      <w:r w:rsidRPr="003532DF">
        <w:t xml:space="preserve"> is a bird in the broad sense of the term — it had a full complement of feathers and flew by flapping its wings — but it’s far from having the hallmarks needed to group it with members of any living birds. </w:t>
      </w:r>
      <w:r w:rsidRPr="003532DF">
        <w:rPr>
          <w:i/>
        </w:rPr>
        <w:t>Archaeopteryx</w:t>
      </w:r>
      <w:r w:rsidRPr="003532DF">
        <w:t xml:space="preserve"> has features that are so unspecialized that they don’t prevent it from being the ancestor of all later bird groups, but they don’t tell us whether living birds arose from this exact lineage.</w:t>
      </w:r>
    </w:p>
    <w:p w:rsidR="00DB42FE" w:rsidRPr="003532DF" w:rsidRDefault="00DB42FE" w:rsidP="00616347">
      <w:pPr>
        <w:pStyle w:val="EndNoteBibliography"/>
        <w:ind w:left="360"/>
      </w:pPr>
      <w:r w:rsidRPr="003532DF">
        <w:t>When considering the relationships between any large group of organisms, such as birds, a key split on the evolutionary tree (Fig. 1) is the distinction between what are called crown-group and stem-group members</w:t>
      </w:r>
      <w:r w:rsidRPr="003532DF">
        <w:rPr>
          <w:u w:val="single"/>
          <w:vertAlign w:val="superscript"/>
        </w:rPr>
        <w:t>3</w:t>
      </w:r>
      <w:r w:rsidRPr="003532DF">
        <w:t xml:space="preserve">. For birds, the crown group includes all living birds (from ostriches to warblers, including quail, gulls, finches, woodpeckers, crows and all their relations), plus all descendants of their most recent common ancestor (that is, all the ancient ostriches, warblers and relatives of the other living bird groups). By contrast, the stem-group birds are those placed outside the living groups of birds but nevertheless still closer to them than they are to other major related groups, such as extinct dinosaurs: in other words, birds from </w:t>
      </w:r>
      <w:r w:rsidRPr="003532DF">
        <w:rPr>
          <w:i/>
        </w:rPr>
        <w:t>Archaeopteryx</w:t>
      </w:r>
      <w:r w:rsidRPr="003532DF">
        <w:t xml:space="preserve"> (the most basal known bird) up to, but not including, living bird groups. The question is whether Field </w:t>
      </w:r>
      <w:r w:rsidRPr="003532DF">
        <w:rPr>
          <w:i/>
        </w:rPr>
        <w:t>et al.</w:t>
      </w:r>
      <w:r w:rsidRPr="003532DF">
        <w:t xml:space="preserve"> are reporting on another stem-group bird or the first well-established crown-group bird, and what the age of their fossil discovery tells us about the timing of avian evolution.</w:t>
      </w:r>
    </w:p>
    <w:p w:rsidR="00DB42FE" w:rsidRPr="003532DF" w:rsidRDefault="00DB42FE" w:rsidP="00616347">
      <w:pPr>
        <w:pStyle w:val="EndNoteBibliography"/>
        <w:ind w:left="360"/>
      </w:pPr>
      <w:r w:rsidRPr="003532DF">
        <w:t xml:space="preserve">All available evidence indicates that birds evolved from a group of carnivorous dinosaurs called theropods during the Jurassic period (about 200–145 Myr ago), and that bird flight had evolved by then, at least considering </w:t>
      </w:r>
      <w:r w:rsidRPr="003532DF">
        <w:rPr>
          <w:i/>
        </w:rPr>
        <w:t>Archaeopteryx</w:t>
      </w:r>
      <w:r w:rsidRPr="003532DF">
        <w:rPr>
          <w:u w:val="single"/>
          <w:vertAlign w:val="superscript"/>
        </w:rPr>
        <w:t>2</w:t>
      </w:r>
      <w:r w:rsidRPr="003532DF">
        <w:t xml:space="preserve">. Through the Cretaceous period (145–66.5 Myr ago) there </w:t>
      </w:r>
      <w:r w:rsidRPr="003532DF">
        <w:lastRenderedPageBreak/>
        <w:t>was considerable evolutionary experimentation in the early offshoots of bird lineages (in such diverse groups as the Enantiornithes, Hesperornithes and Ichthyornithes)</w:t>
      </w:r>
      <w:r w:rsidRPr="003532DF">
        <w:rPr>
          <w:u w:val="single"/>
          <w:vertAlign w:val="superscript"/>
        </w:rPr>
        <w:t>4</w:t>
      </w:r>
      <w:r w:rsidRPr="003532DF">
        <w:t>. But these ancient birds are outside the crown group because they lack the structural and physiological features characteristic of living birds. These stem-group birds seem to have grown much like small dinosaurs had done ever since the Triassic period (about 250–200 Myr ago) — faster than typical reptiles but slower than today’s birds, reaching maturity in a few years, on the basis of examination of their bone tissues</w:t>
      </w:r>
      <w:r w:rsidRPr="003532DF">
        <w:rPr>
          <w:u w:val="single"/>
          <w:vertAlign w:val="superscript"/>
        </w:rPr>
        <w:t>5</w:t>
      </w:r>
      <w:r w:rsidRPr="003532DF">
        <w:t>.</w:t>
      </w:r>
    </w:p>
    <w:p w:rsidR="00DB42FE" w:rsidRPr="003532DF" w:rsidRDefault="00DB42FE" w:rsidP="00616347">
      <w:pPr>
        <w:pStyle w:val="EndNoteBibliography"/>
        <w:ind w:left="360"/>
      </w:pPr>
      <w:r w:rsidRPr="003532DF">
        <w:t>However, sometime during the latest Cretaceous, a stem-group lineage of birds evolved that had much higher growth rates than these more basal lineages, and that generally matured within a year or even sooner</w:t>
      </w:r>
      <w:r w:rsidRPr="003532DF">
        <w:rPr>
          <w:u w:val="single"/>
          <w:vertAlign w:val="superscript"/>
        </w:rPr>
        <w:t>2</w:t>
      </w:r>
      <w:r w:rsidRPr="003532DF">
        <w:rPr>
          <w:vertAlign w:val="superscript"/>
        </w:rPr>
        <w:t>,</w:t>
      </w:r>
      <w:r w:rsidRPr="003532DF">
        <w:rPr>
          <w:u w:val="single"/>
          <w:vertAlign w:val="superscript"/>
        </w:rPr>
        <w:t>5</w:t>
      </w:r>
      <w:r w:rsidRPr="003532DF">
        <w:t>. These became the crown-group birds. Their relationship to the closely related stem-group birds remains fuzzy, partly because fossil birds are usually rare and poorly preserved</w:t>
      </w:r>
      <w:r w:rsidRPr="003532DF">
        <w:rPr>
          <w:u w:val="single"/>
          <w:vertAlign w:val="superscript"/>
        </w:rPr>
        <w:t>4</w:t>
      </w:r>
      <w:r w:rsidRPr="003532DF">
        <w:t>.</w:t>
      </w:r>
    </w:p>
    <w:p w:rsidR="00DB42FE" w:rsidRPr="003532DF" w:rsidRDefault="00DB42FE" w:rsidP="00616347">
      <w:pPr>
        <w:pStyle w:val="EndNoteBibliography"/>
        <w:ind w:left="360"/>
      </w:pPr>
      <w:r w:rsidRPr="003532DF">
        <w:t xml:space="preserve">This issue underlies the importance of the fossil bird reported by Field and colleagues. Although some previously discovered specimens have helped to pinpoint the ultimate origin of living birds, the authors’ discovery is the best evidence yet of when and how the first known crown birds evolved. Field and colleagues named their Belgian fossil specimen </w:t>
      </w:r>
      <w:r w:rsidRPr="003532DF">
        <w:rPr>
          <w:i/>
        </w:rPr>
        <w:t>Asteriornis maastrichtensis</w:t>
      </w:r>
      <w:r w:rsidRPr="003532DF">
        <w:t>. It is from the latest Cretaceous period, and was relatively small (with an estimated body weight of about 400 grams).</w:t>
      </w:r>
    </w:p>
    <w:p w:rsidR="00DB42FE" w:rsidRPr="003532DF" w:rsidRDefault="00DB42FE" w:rsidP="00616347">
      <w:pPr>
        <w:pStyle w:val="EndNoteBibliography"/>
        <w:ind w:left="360"/>
      </w:pPr>
      <w:r w:rsidRPr="003532DF">
        <w:t>The remains are confined to an excellently preserved skull and some other fragmentary bones (see Fig. 1 of ref. 1), which is enough to establish not only that it is a crown-group bird, but also that it is an early member of the group of land birds called Galloanserae. Think of this group informally as ‘poultry’: chickens, quail and the like (Galliformes), plus ducks, geese and so on (Anseriformes).</w:t>
      </w:r>
      <w:r w:rsidRPr="003532DF">
        <w:rPr>
          <w:i/>
        </w:rPr>
        <w:t xml:space="preserve"> Asteriornis</w:t>
      </w:r>
      <w:r w:rsidRPr="003532DF">
        <w:t xml:space="preserve"> seems to be a basal member of this group and possibly (Fig. 1) on the chicken–quail branch (Galliformes), but the available information is too scarce and fragmentary for scientists to be sure. Most other known ancient specimens of fossil bird are either well-established members of living groups or outside this crown group entirely</w:t>
      </w:r>
      <w:r w:rsidRPr="003532DF">
        <w:rPr>
          <w:u w:val="single"/>
          <w:vertAlign w:val="superscript"/>
        </w:rPr>
        <w:t>4</w:t>
      </w:r>
      <w:r w:rsidRPr="003532DF">
        <w:t xml:space="preserve">. The position of </w:t>
      </w:r>
      <w:r w:rsidRPr="003532DF">
        <w:rPr>
          <w:i/>
        </w:rPr>
        <w:t>Asteriornis</w:t>
      </w:r>
      <w:r w:rsidRPr="003532DF">
        <w:t xml:space="preserve"> on the bird family tree is particularly interesting because, among crown birds, the first major branch that diverged from the others (Fig. 1) is the ratites (most of which are flightless birds, including ostriches)</w:t>
      </w:r>
      <w:r w:rsidRPr="003532DF">
        <w:rPr>
          <w:u w:val="single"/>
          <w:vertAlign w:val="superscript"/>
        </w:rPr>
        <w:t>6</w:t>
      </w:r>
      <w:r w:rsidRPr="003532DF">
        <w:rPr>
          <w:vertAlign w:val="superscript"/>
        </w:rPr>
        <w:t>,</w:t>
      </w:r>
      <w:r w:rsidRPr="003532DF">
        <w:rPr>
          <w:u w:val="single"/>
          <w:vertAlign w:val="superscript"/>
        </w:rPr>
        <w:t>7</w:t>
      </w:r>
      <w:r w:rsidRPr="003532DF">
        <w:t xml:space="preserve"> — so</w:t>
      </w:r>
      <w:r w:rsidRPr="003532DF">
        <w:rPr>
          <w:i/>
        </w:rPr>
        <w:t xml:space="preserve"> Asteriornis </w:t>
      </w:r>
      <w:r w:rsidRPr="003532DF">
        <w:t>is, if you’ll forgive the expression, well nested within the crown group of birds.</w:t>
      </w:r>
    </w:p>
    <w:p w:rsidR="00DB42FE" w:rsidRPr="003532DF" w:rsidRDefault="00DB42FE" w:rsidP="00616347">
      <w:pPr>
        <w:pStyle w:val="EndNoteBibliography"/>
        <w:ind w:left="360"/>
      </w:pPr>
      <w:r w:rsidRPr="003532DF">
        <w:t xml:space="preserve">What does the age of this </w:t>
      </w:r>
      <w:r w:rsidRPr="003532DF">
        <w:rPr>
          <w:i/>
        </w:rPr>
        <w:t>Asteriornis</w:t>
      </w:r>
      <w:r w:rsidRPr="003532DF">
        <w:t xml:space="preserve"> fossil tell us about the timing of avian diversification? It’s only one bird, so it doesn’t reveal much about that. But we know that this specimen was on the scene about 200,000 years before the end of the Cretaceous. That establishes that crown-group birds evolved before the end of the Cretaceous, but perhaps only barely before then.</w:t>
      </w:r>
    </w:p>
    <w:p w:rsidR="00DB42FE" w:rsidRPr="003532DF" w:rsidRDefault="00DB42FE" w:rsidP="00616347">
      <w:pPr>
        <w:pStyle w:val="EndNoteBibliography"/>
        <w:ind w:left="360"/>
      </w:pPr>
      <w:r w:rsidRPr="003532DF">
        <w:t>This is something of a corrective to the conventional estimates of the earliest origin and diversification of living bird groups based on molecular phylogenetic analyses, which have proposed estimates of this divergence timing ranging from 139 to 95 to 89 Myr ago (to mention just a few such studies)</w:t>
      </w:r>
      <w:r w:rsidRPr="003532DF">
        <w:rPr>
          <w:u w:val="single"/>
          <w:vertAlign w:val="superscript"/>
        </w:rPr>
        <w:t>8</w:t>
      </w:r>
      <w:r w:rsidRPr="003532DF">
        <w:rPr>
          <w:vertAlign w:val="superscript"/>
        </w:rPr>
        <w:t>–</w:t>
      </w:r>
      <w:r w:rsidRPr="003532DF">
        <w:rPr>
          <w:u w:val="single"/>
          <w:vertAlign w:val="superscript"/>
        </w:rPr>
        <w:t>11</w:t>
      </w:r>
      <w:r w:rsidRPr="003532DF">
        <w:t>. If these values seem all over the place, let’s remember that such studies usually analyse changes in DNA sequences for a few genes and assume that the rate of molecular evolution is relatively constant over time. The very effort that such work takes to resolve these evolutionary divergences with such indirect molecular evidence is heroic.</w:t>
      </w:r>
    </w:p>
    <w:p w:rsidR="00DB42FE" w:rsidRPr="003532DF" w:rsidRDefault="00DB42FE" w:rsidP="00616347">
      <w:pPr>
        <w:pStyle w:val="EndNoteBibliography"/>
        <w:ind w:left="360"/>
      </w:pPr>
      <w:r w:rsidRPr="003532DF">
        <w:t xml:space="preserve">Why should palaeontological evidence be ‘smarter’ than molecular evidence in cases such as this? Fossil remains are a crucial test of molecular-based projections of evolutionary divergence times. If a molecular study estimates a given age of origin for a group, then fossils from the corresponding timeframe should have the diagnostic features that identify those groups. If fossils from the time of </w:t>
      </w:r>
      <w:r w:rsidRPr="003532DF">
        <w:lastRenderedPageBreak/>
        <w:t xml:space="preserve">interest provide no evidence of the expected newly evolved features, then the molecular projections are not supported. The evidence for </w:t>
      </w:r>
      <w:r w:rsidRPr="003532DF">
        <w:rPr>
          <w:i/>
        </w:rPr>
        <w:t>Asteriornis</w:t>
      </w:r>
      <w:r w:rsidRPr="003532DF">
        <w:t xml:space="preserve"> reported by Field and colleagues implies that crown-group birds first evolved when the Cretaceous period was nearly over. That places a strong constraint on hypotheses for basal divergence times, but there will always be more fossils to find.</w:t>
      </w:r>
    </w:p>
    <w:p w:rsidR="00DB42FE" w:rsidRPr="003532DF" w:rsidRDefault="00DB42FE" w:rsidP="000A2352">
      <w:pPr>
        <w:pStyle w:val="EndNoteBibliography"/>
        <w:spacing w:after="0"/>
        <w:ind w:left="720" w:hanging="360"/>
      </w:pPr>
      <w:r w:rsidRPr="003532DF">
        <w:t>References</w:t>
      </w:r>
    </w:p>
    <w:p w:rsidR="00DB42FE" w:rsidRPr="003532DF" w:rsidRDefault="00DB42FE" w:rsidP="000A2352">
      <w:pPr>
        <w:pStyle w:val="EndNoteBibliography"/>
        <w:spacing w:after="0"/>
        <w:ind w:left="720" w:hanging="360"/>
      </w:pPr>
      <w:r w:rsidRPr="003532DF">
        <w:t>1.   Field, D. J., Benito, J., Chen, A., Jagt, J. W. M. &amp; Ksepka, D. T. Nature 579, 397–401 (2020).</w:t>
      </w:r>
    </w:p>
    <w:p w:rsidR="00DB42FE" w:rsidRPr="003532DF" w:rsidRDefault="00DB42FE" w:rsidP="000A2352">
      <w:pPr>
        <w:pStyle w:val="EndNoteBibliography"/>
        <w:spacing w:after="0"/>
        <w:ind w:left="720" w:hanging="360"/>
      </w:pPr>
      <w:r w:rsidRPr="003532DF">
        <w:t>2.   Padian, K. &amp; de Ricqlès, A. C. R. Palevol. 8, 257–280 (2009).</w:t>
      </w:r>
    </w:p>
    <w:p w:rsidR="00DB42FE" w:rsidRPr="003532DF" w:rsidRDefault="00DB42FE" w:rsidP="000A2352">
      <w:pPr>
        <w:pStyle w:val="EndNoteBibliography"/>
        <w:spacing w:after="0"/>
        <w:ind w:left="720" w:hanging="360"/>
      </w:pPr>
      <w:r w:rsidRPr="003532DF">
        <w:t>3.   Budd, G. E. &amp; Mann, R. P. Sci. Adv. 6, eaaz1626 (2020).</w:t>
      </w:r>
    </w:p>
    <w:p w:rsidR="00DB42FE" w:rsidRPr="003532DF" w:rsidRDefault="00DB42FE" w:rsidP="000A2352">
      <w:pPr>
        <w:pStyle w:val="EndNoteBibliography"/>
        <w:spacing w:after="0"/>
        <w:ind w:left="720" w:hanging="360"/>
      </w:pPr>
      <w:r w:rsidRPr="003532DF">
        <w:t>4.   Chiappe, L. M. &amp; Witmer, L. M. (eds) Mesozoic Birds: Above the Heads of Dinosaurs (Univ. California Press, 2002).</w:t>
      </w:r>
    </w:p>
    <w:p w:rsidR="00DB42FE" w:rsidRPr="003532DF" w:rsidRDefault="00DB42FE" w:rsidP="000A2352">
      <w:pPr>
        <w:pStyle w:val="EndNoteBibliography"/>
        <w:spacing w:after="0"/>
        <w:ind w:left="720" w:hanging="360"/>
      </w:pPr>
      <w:r w:rsidRPr="003532DF">
        <w:t>5.   Padian, K., Horner, J. R. &amp; de Ricqlès, A. J. Vert. Paleont. 24, 555–571 (2004).</w:t>
      </w:r>
    </w:p>
    <w:p w:rsidR="00DB42FE" w:rsidRPr="003532DF" w:rsidRDefault="00DB42FE" w:rsidP="000A2352">
      <w:pPr>
        <w:pStyle w:val="EndNoteBibliography"/>
        <w:spacing w:after="0"/>
        <w:ind w:left="720" w:hanging="360"/>
      </w:pPr>
      <w:r w:rsidRPr="003532DF">
        <w:t>6.   Prum, R. O. et al. Nature 526, 569–573 (2015).</w:t>
      </w:r>
    </w:p>
    <w:p w:rsidR="00DB42FE" w:rsidRPr="003532DF" w:rsidRDefault="00DB42FE" w:rsidP="000A2352">
      <w:pPr>
        <w:pStyle w:val="EndNoteBibliography"/>
        <w:spacing w:after="0"/>
        <w:ind w:left="720" w:hanging="360"/>
      </w:pPr>
      <w:r w:rsidRPr="003532DF">
        <w:t>7.   Hackett, S. J. et al. Science 320, 1763–1768 (2008).</w:t>
      </w:r>
    </w:p>
    <w:p w:rsidR="00DB42FE" w:rsidRPr="003532DF" w:rsidRDefault="00DB42FE" w:rsidP="000A2352">
      <w:pPr>
        <w:pStyle w:val="EndNoteBibliography"/>
        <w:spacing w:after="0"/>
        <w:ind w:left="720" w:hanging="360"/>
      </w:pPr>
      <w:r w:rsidRPr="003532DF">
        <w:t>8.   Pereira, S. L. &amp; Baker, A. J. Mol. Biol. Evol. 23, 1731–1740 (2006).</w:t>
      </w:r>
    </w:p>
    <w:p w:rsidR="00DB42FE" w:rsidRPr="003532DF" w:rsidRDefault="00DB42FE" w:rsidP="000A2352">
      <w:pPr>
        <w:pStyle w:val="EndNoteBibliography"/>
        <w:spacing w:after="0"/>
        <w:ind w:left="720" w:hanging="360"/>
      </w:pPr>
      <w:r w:rsidRPr="003532DF">
        <w:t>9.   van Tuinen, M. &amp; Hedges, S. B. Mol. Biol. Evol. 18, 206–213 (2001).</w:t>
      </w:r>
    </w:p>
    <w:p w:rsidR="00DB42FE" w:rsidRPr="003532DF" w:rsidRDefault="00DB42FE" w:rsidP="000A2352">
      <w:pPr>
        <w:pStyle w:val="EndNoteBibliography"/>
        <w:spacing w:after="0"/>
        <w:ind w:left="720" w:hanging="360"/>
      </w:pPr>
      <w:r w:rsidRPr="003532DF">
        <w:t>10. Jarvis, E. D. et al. Science 346, 1320–1331 (2014).</w:t>
      </w:r>
    </w:p>
    <w:p w:rsidR="00DB42FE" w:rsidRPr="003532DF" w:rsidRDefault="00DB42FE" w:rsidP="000A2352">
      <w:pPr>
        <w:pStyle w:val="EndNoteBibliography"/>
        <w:spacing w:after="0"/>
        <w:ind w:left="720" w:hanging="360"/>
      </w:pPr>
      <w:r w:rsidRPr="003532DF">
        <w:t>11. Cracraft, J. &amp; Claramunt, S. Sci. Adv. 1, e1501005 (2015).</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Park, H., Park, G., Jeon, W., Ahn, J.-O., Yang, Y.-H., Choi, K.-Y., </w:t>
      </w:r>
      <w:r w:rsidR="00616347">
        <w:t xml:space="preserve">2020. </w:t>
      </w:r>
      <w:r w:rsidRPr="003532DF">
        <w:t>Whole-cell biocatalysis using cytochrome P450 monooxygenases for biotransformation of sustainable bioresources (fatty acids, fatty alkanes, and aromatic amino acids). Biotechnology Advances 40, 107504.</w:t>
      </w:r>
    </w:p>
    <w:p w:rsidR="00DB42FE" w:rsidRPr="003532DF" w:rsidRDefault="00DB42FE" w:rsidP="00616347">
      <w:pPr>
        <w:pStyle w:val="EndNoteBibliography"/>
        <w:ind w:left="360"/>
      </w:pPr>
      <w:r w:rsidRPr="003532DF">
        <w:t>http://www.sciencedirect.com/science/article/pii/S073497502030001X</w:t>
      </w:r>
    </w:p>
    <w:p w:rsidR="00DB42FE" w:rsidRPr="003532DF" w:rsidRDefault="00DB42FE" w:rsidP="00616347">
      <w:pPr>
        <w:pStyle w:val="EndNoteBibliography"/>
        <w:spacing w:after="0"/>
        <w:ind w:left="360"/>
      </w:pPr>
      <w:r w:rsidRPr="003532DF">
        <w:t>Cytochrome P450s (CYPs) are heme-thiolated enzymes that catalyze the oxidation of C-H bonds in a regio and stereoselective manner. Activation of the non-activated carbon atom can be further enhanced by multistep chemo-enzymatic reactions; moreover, several useful chemicals can be synthesized to provide alternative organic synthesis routes. Given their versatile functionality, CYPs show promise in a number of biotechnological fields. Recently, various CYPs, along with their sequences and functionalities, have been identified owing to rapid developments in sequencing technology and molecular biotechnology. In addition to these discoveries, attempts have been made to utilize CYPs to industrially produce biochemicals from available and sustainable bioresources such as oil, amino acids, carbohydrates, and lignin. Here, these accomplishments, particularly those involving the use of CYP enzymes as whole-cell biocatalysts for bioresource biotransformation, will be reviewed. Further, recently developed biotransformation pathways that result in gram-scale yields of fatty acids and fatty alkanes as well as aromatic amino acids, which depend on the hosts used for CYP expression, and the nature of the multistep reactions will be discussed. These pathways are similar regardless of whether the hosts are CYP-producing or non-CYP-producing; the limitations of these methods and the ways to overcome them are reviewed here.</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Parrilla-Gutierrez, J.M., Sharma, A., Tsuda, S., Cooper, G.J.T., Aragon-Camarasa, G., Donkers, K., Cronin, L., </w:t>
      </w:r>
      <w:r w:rsidR="00616347">
        <w:t xml:space="preserve">2020. </w:t>
      </w:r>
      <w:r w:rsidRPr="003532DF">
        <w:t>A programmable chemical computer with memory and pattern recognition. Nature Communications 11, 1442.</w:t>
      </w:r>
    </w:p>
    <w:p w:rsidR="00DB42FE" w:rsidRPr="003532DF" w:rsidRDefault="00DB42FE" w:rsidP="00616347">
      <w:pPr>
        <w:pStyle w:val="EndNoteBibliography"/>
        <w:ind w:left="360"/>
      </w:pPr>
      <w:r w:rsidRPr="003532DF">
        <w:t>https://doi.org/10.1038/s41467-020-15190-3</w:t>
      </w:r>
    </w:p>
    <w:p w:rsidR="00DB42FE" w:rsidRPr="003532DF" w:rsidRDefault="00DB42FE" w:rsidP="00616347">
      <w:pPr>
        <w:pStyle w:val="EndNoteBibliography"/>
        <w:spacing w:after="0"/>
        <w:ind w:left="360"/>
      </w:pPr>
      <w:r w:rsidRPr="003532DF">
        <w:lastRenderedPageBreak/>
        <w:t>Current computers are limited by the von Neumann bottleneck, which constrains the throughput between the processing unit and the memory. Chemical processes have the potential to scale beyond current computing architectures as the processing unit and memory reside in the same space, performing computations through chemical reactions, yet their lack of programmability limits them. Herein, we present a programmable chemical processor comprising of a 5 by 5 array of cells filled with a switchable oscillating chemical (Belousov–Zhabotinsky) reaction. Each cell can be individually addressed in the ‘on’ or ‘off’ state, yielding more than 2.9 × 10</w:t>
      </w:r>
      <w:r w:rsidRPr="003532DF">
        <w:rPr>
          <w:vertAlign w:val="superscript"/>
        </w:rPr>
        <w:t>17</w:t>
      </w:r>
      <w:r w:rsidRPr="003532DF">
        <w:t xml:space="preserve"> chemical states which arise from the ability to detect distinct amplitudes of oscillations via image processing. By programming the array of interconnected BZ reactions we demonstrate chemically encoded and addressable memory, and we create a chemical Autoencoder for pattern recognition able to perform the equivalent of one million operations per second.</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Pascual-García, A., Bonhoeffer, S., Bell, T., </w:t>
      </w:r>
      <w:r w:rsidR="00616347">
        <w:t xml:space="preserve">2020. </w:t>
      </w:r>
      <w:r w:rsidRPr="003532DF">
        <w:t>Metabolically cohesive microbial consortia and ecosystem functioning. Philosophical Transactions of the Royal Society B: Biological Sciences 375, 20190245.</w:t>
      </w:r>
    </w:p>
    <w:p w:rsidR="00DB42FE" w:rsidRPr="003532DF" w:rsidRDefault="00DB42FE" w:rsidP="00616347">
      <w:pPr>
        <w:pStyle w:val="EndNoteBibliography"/>
        <w:ind w:left="360"/>
      </w:pPr>
      <w:r w:rsidRPr="003532DF">
        <w:t>https://doi.org/10.1098/rstb.2019.0245</w:t>
      </w:r>
    </w:p>
    <w:p w:rsidR="00DB42FE" w:rsidRPr="003532DF" w:rsidRDefault="00DB42FE" w:rsidP="00616347">
      <w:pPr>
        <w:pStyle w:val="EndNoteBibliography"/>
        <w:spacing w:after="0"/>
        <w:ind w:left="360"/>
      </w:pPr>
      <w:r w:rsidRPr="003532DF">
        <w:t>Recent theory and experiments have reported a reproducible tendency for the coexistence of microbial species under controlled environmental conditions. This observation has been explained in the context of competition for resources and metabolic complementarity given that, in microbial communities (MCs), many excreted by-products of metabolism may also be resources. MCs therefore play a key role in promoting their own stability and in shaping the niches of the constituent taxa. We suggest that an intermediate level of organization between the species and the community level may be pervasive, where tightly knit metabolic interactions create discrete consortia that are stably maintained. We call these units Metabolically Cohesive Consortia (MeCoCos) and we discuss the environmental context in which we expect their formation, and the ecological and evolutionary consequences of their existence. We argue that the ability to identify MeCoCos would open new avenues to link the species-, community- and ecosystem-level properties, with consequences for our understanding of microbial ecology and evolution, and an improved ability to predict ecosystem functioning in the wild.</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Pasternak, G., Askitosari, T.D., Rosenbaum, M.A., </w:t>
      </w:r>
      <w:r w:rsidR="00616347">
        <w:t xml:space="preserve">2020. </w:t>
      </w:r>
      <w:r w:rsidRPr="003532DF">
        <w:t>Biosurfactants and synthetic surfactants in bioelectrochemical systems: A mini-review. Frontiers in Microbiology 11, 358. doi: 10.3389/fmicb.2020.00358.</w:t>
      </w:r>
    </w:p>
    <w:p w:rsidR="00DB42FE" w:rsidRPr="003532DF" w:rsidRDefault="00DB42FE" w:rsidP="00616347">
      <w:pPr>
        <w:pStyle w:val="EndNoteBibliography"/>
        <w:ind w:left="360"/>
      </w:pPr>
      <w:r w:rsidRPr="003532DF">
        <w:t>https://www.frontiersin.org/article/10.3389/fmicb.2020.00358</w:t>
      </w:r>
    </w:p>
    <w:p w:rsidR="00DB42FE" w:rsidRPr="003532DF" w:rsidRDefault="00DB42FE" w:rsidP="00616347">
      <w:pPr>
        <w:pStyle w:val="EndNoteBibliography"/>
        <w:spacing w:after="0"/>
        <w:ind w:left="360"/>
      </w:pPr>
      <w:r w:rsidRPr="003532DF">
        <w:t xml:space="preserve">Bioelectrochemical systems (BESs) are ruled by a complex combination of biological and abiotic factors. The interplay of these factors determines the overall efficiency of BES in generating electricity and treating waste. The recent progress in bioelectrochemistry of BESs and electrobiotechnology exposed an important group of compounds, which have a significant contribution to operation and efficiency: surface-active agents, also termed surfactants. Implementation of the interfacial science led to determining several effects of synthetic and natural surfactants on BESs operation. In high pH, these amphiphilic compounds prevent the cathode electrodes from biodeterioration. Through solubilization, their presence leads to increased catabolism of hydrophobic compounds. They interfere with the surface of the electrodes leading to </w:t>
      </w:r>
      <w:r w:rsidRPr="003532DF">
        <w:lastRenderedPageBreak/>
        <w:t>improved biofilm formation, while affecting its microarchitecture and composition. Furthermore, they may act as quorum sensing activators and induce the synthesis of electron shuttles produced by electroactive bacteria. On the other hand, the bioelectrochemical activity can be tailored for new, improved biosurfactant production processes. Herein, the most recent knowledge on the effects of these promising compounds in BESs is discussed.</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Pauk, V., Lemr, K., </w:t>
      </w:r>
      <w:r w:rsidR="00616347">
        <w:t xml:space="preserve">2020. </w:t>
      </w:r>
      <w:r w:rsidRPr="003532DF">
        <w:t>Investigation of chromatographic peak broadening in supercritical fluid chromatography/atmospheric pressure chemical ionization mass spectrometry. Journal of Separation Science 43, 1190-1194.</w:t>
      </w:r>
    </w:p>
    <w:p w:rsidR="00DB42FE" w:rsidRPr="003532DF" w:rsidRDefault="00DB42FE" w:rsidP="00616347">
      <w:pPr>
        <w:pStyle w:val="EndNoteBibliography"/>
        <w:ind w:left="360"/>
      </w:pPr>
      <w:r w:rsidRPr="003532DF">
        <w:t>https://doi.org/10.1002/jssc.201901130</w:t>
      </w:r>
    </w:p>
    <w:p w:rsidR="00DB42FE" w:rsidRPr="003532DF" w:rsidRDefault="00DB42FE" w:rsidP="00616347">
      <w:pPr>
        <w:pStyle w:val="EndNoteBibliography"/>
        <w:spacing w:after="0"/>
        <w:ind w:left="360"/>
      </w:pPr>
      <w:r w:rsidRPr="003532DF">
        <w:t>Abstract Multimode ionization source allows for switching between different ionization techniques, for example, electrospray and atmospheric pressure chemical ionization, within a single analysis. Supercritical fluid chromatography can handle a wide polarity range of substances from hydrophilic to lipophilic in a single run and can undoubtedly benefit from versatility of this ion source. Nevertheless, we observed a significant chromatographic peak broadening effect in atmospheric pressure chemical ionization mode during supercritical fluid chromatography-mass spectrometry analysis of volatile flavor compounds with a dual ion source named ESCi (Waters). Surprisingly, this effect was not related to the separation process but was triggered solely by the ion source conditions. Neither of photodiode array detector, electrospray mode nor a dedicated atmospheric pressure chemical ionization source suffered from such a phenomenon. Chromatographic peak profiles of ten test substances obtained with the dual ion source were compared with photodiode array detector data as a reference. The broadening effect was more pronounced for volatile compounds with low polarity. Dependence of peak broadening on the ion source settings was systematically investigated. Tuning of desolvation gas flow and its temperature dramatically reduced peak distortion and increased detection sensitivity.</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Pawłowska, J., Łącka, M., Kucharska, M., Pawlowski, J., Zajączkowski, M., </w:t>
      </w:r>
      <w:r w:rsidR="00616347">
        <w:t xml:space="preserve">2020. </w:t>
      </w:r>
      <w:r w:rsidRPr="003532DF">
        <w:t>Multiproxy evidence of the neoglacial expansion of Atlantic water to eastern Svalbard. Climate of the Past 16, 487-501.</w:t>
      </w:r>
    </w:p>
    <w:p w:rsidR="00DB42FE" w:rsidRPr="003532DF" w:rsidRDefault="00DB42FE" w:rsidP="00616347">
      <w:pPr>
        <w:pStyle w:val="EndNoteBibliography"/>
        <w:ind w:left="360"/>
      </w:pPr>
      <w:r w:rsidRPr="003532DF">
        <w:t>https://www.clim-past.net/16/487/2020/</w:t>
      </w:r>
    </w:p>
    <w:p w:rsidR="00DB42FE" w:rsidRPr="003532DF" w:rsidRDefault="00DB42FE" w:rsidP="00616347">
      <w:pPr>
        <w:pStyle w:val="EndNoteBibliography"/>
        <w:spacing w:after="0"/>
        <w:ind w:left="360"/>
      </w:pPr>
      <w:r w:rsidRPr="003532DF">
        <w:t>The main goal of this study is to reconstruct the paleoceanographic development of Storfjorden during the Neoglacial (</w:t>
      </w:r>
      <w:r w:rsidRPr="003532DF">
        <w:rPr>
          <w:rFonts w:ascii="Cambria Math" w:hAnsi="Cambria Math" w:cs="Cambria Math"/>
        </w:rPr>
        <w:t>∼</w:t>
      </w:r>
      <w:r w:rsidRPr="003532DF">
        <w:t>4</w:t>
      </w:r>
      <w:r w:rsidRPr="003532DF">
        <w:rPr>
          <w:rFonts w:cs="Calibri"/>
        </w:rPr>
        <w:t> </w:t>
      </w:r>
      <w:r w:rsidRPr="003532DF">
        <w:t>cal</w:t>
      </w:r>
      <w:r w:rsidRPr="003532DF">
        <w:rPr>
          <w:rFonts w:cs="Calibri"/>
        </w:rPr>
        <w:t> </w:t>
      </w:r>
      <w:r w:rsidRPr="003532DF">
        <w:t>ka</w:t>
      </w:r>
      <w:r w:rsidRPr="003532DF">
        <w:rPr>
          <w:rFonts w:cs="Calibri"/>
        </w:rPr>
        <w:t> </w:t>
      </w:r>
      <w:r w:rsidRPr="003532DF">
        <w:t xml:space="preserve">BP). Storfjorden is one of the most important brine factories in the European Arctic and is responsible for deepwater production. Moreover, it is a climate-sensitive area influenced by two contrasting water masses: warm and saline Atlantic Water (AW) and cold and fresh Arctic Water (ArW). Herein, a multiproxy approach was applied to provide evidence for existing interactions between the inflow of AW and sea ice coverage, which are the major drivers of environmental changes in Storfjorden. The sedimentary and microfossil records indicate that a major reorganization of oceanographic conditions in Storfjorden occurred at </w:t>
      </w:r>
      <w:r w:rsidRPr="003532DF">
        <w:rPr>
          <w:rFonts w:ascii="Cambria Math" w:hAnsi="Cambria Math" w:cs="Cambria Math"/>
        </w:rPr>
        <w:t>∼</w:t>
      </w:r>
      <w:r w:rsidRPr="003532DF">
        <w:t>2.7</w:t>
      </w:r>
      <w:r w:rsidRPr="003532DF">
        <w:rPr>
          <w:rFonts w:cs="Calibri"/>
        </w:rPr>
        <w:t> </w:t>
      </w:r>
      <w:r w:rsidRPr="003532DF">
        <w:t>cal</w:t>
      </w:r>
      <w:r w:rsidRPr="003532DF">
        <w:rPr>
          <w:rFonts w:cs="Calibri"/>
        </w:rPr>
        <w:t> </w:t>
      </w:r>
      <w:r w:rsidRPr="003532DF">
        <w:t>ka</w:t>
      </w:r>
      <w:r w:rsidRPr="003532DF">
        <w:rPr>
          <w:rFonts w:cs="Calibri"/>
        </w:rPr>
        <w:t> </w:t>
      </w:r>
      <w:r w:rsidRPr="003532DF">
        <w:t xml:space="preserve">BP. The cold conditions and the less pronounced presence of AW in Storfjorden during the early phase of the Neoglacial were the prerequisite conditions for the formation of extensive sea ice cover. The period after </w:t>
      </w:r>
      <w:r w:rsidRPr="003532DF">
        <w:rPr>
          <w:rFonts w:ascii="Cambria Math" w:hAnsi="Cambria Math" w:cs="Cambria Math"/>
        </w:rPr>
        <w:t>∼</w:t>
      </w:r>
      <w:r w:rsidRPr="003532DF">
        <w:t>2.7</w:t>
      </w:r>
      <w:r w:rsidRPr="003532DF">
        <w:rPr>
          <w:rFonts w:cs="Calibri"/>
        </w:rPr>
        <w:t> </w:t>
      </w:r>
      <w:r w:rsidRPr="003532DF">
        <w:t>cal</w:t>
      </w:r>
      <w:r w:rsidRPr="003532DF">
        <w:rPr>
          <w:rFonts w:cs="Calibri"/>
        </w:rPr>
        <w:t> </w:t>
      </w:r>
      <w:r w:rsidRPr="003532DF">
        <w:t>ka</w:t>
      </w:r>
      <w:r w:rsidRPr="003532DF">
        <w:rPr>
          <w:rFonts w:cs="Calibri"/>
        </w:rPr>
        <w:t> </w:t>
      </w:r>
      <w:r w:rsidRPr="003532DF">
        <w:t xml:space="preserve">BP was characterized by alternating short-term cooling and warming intervals. Warming was associated with pulsed inflows of AW and sea ice melting that stimulated phytoplankton blooms and organic matter supply to the bottom. The cold phases were characterized by heavy and densely packed sea ice, resulting in decreased productivity. The ancient </w:t>
      </w:r>
      <w:r w:rsidRPr="003532DF">
        <w:lastRenderedPageBreak/>
        <w:t>environmental DNA (aDNA) records of foraminifera and diatoms support the occurrence of the major pulses of AW (</w:t>
      </w:r>
      <w:r w:rsidRPr="003532DF">
        <w:rPr>
          <w:rFonts w:ascii="Cambria Math" w:hAnsi="Cambria Math" w:cs="Cambria Math"/>
        </w:rPr>
        <w:t>∼</w:t>
      </w:r>
      <w:r w:rsidRPr="003532DF">
        <w:t xml:space="preserve">2.3 and </w:t>
      </w:r>
      <w:r w:rsidRPr="003532DF">
        <w:rPr>
          <w:rFonts w:ascii="Cambria Math" w:hAnsi="Cambria Math" w:cs="Cambria Math"/>
        </w:rPr>
        <w:t>∼</w:t>
      </w:r>
      <w:r w:rsidRPr="003532DF">
        <w:t>1.7</w:t>
      </w:r>
      <w:r w:rsidRPr="003532DF">
        <w:rPr>
          <w:rFonts w:cs="Calibri"/>
        </w:rPr>
        <w:t> </w:t>
      </w:r>
      <w:r w:rsidRPr="003532DF">
        <w:t>cal</w:t>
      </w:r>
      <w:r w:rsidRPr="003532DF">
        <w:rPr>
          <w:rFonts w:cs="Calibri"/>
        </w:rPr>
        <w:t> </w:t>
      </w:r>
      <w:r w:rsidRPr="003532DF">
        <w:t>ka</w:t>
      </w:r>
      <w:r w:rsidRPr="003532DF">
        <w:rPr>
          <w:rFonts w:cs="Calibri"/>
        </w:rPr>
        <w:t> </w:t>
      </w:r>
      <w:r w:rsidRPr="003532DF">
        <w:t>BP) and the variations in sea ice cover. The episodes of enhanced AW inflow were marked by an increase in the percentage of DNA sequences of monothalamous foraminifera associated with the presence of fresh phytodetritus. Cold and less productive intervals were marked by an increased proportion of monothalamous taxa known only from environmental sequencing. The diatom aDNA record indicates that primary production was continuous during the Neoglacial, regardless of the sea ice conditions. However, the colder periods were characterized by the presence of diatom taxa associated with sea ice, whereas the present-day diatom assemblage is dominated by open-water taxa.</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Peck, E.K., Wheatcroft, R.A., Brophy, L.S., </w:t>
      </w:r>
      <w:r w:rsidR="00616347">
        <w:t xml:space="preserve">2020. </w:t>
      </w:r>
      <w:r w:rsidRPr="003532DF">
        <w:t>Controls on sediment accretion and blue carbon burial in tidal saline wetlands: Insights from the Oregon coast, USA. Journal of Geophysical Research: Biogeosciences 125, e2019JG005464.</w:t>
      </w:r>
    </w:p>
    <w:p w:rsidR="00DB42FE" w:rsidRPr="003532DF" w:rsidRDefault="00DB42FE" w:rsidP="00616347">
      <w:pPr>
        <w:pStyle w:val="EndNoteBibliography"/>
        <w:ind w:left="360"/>
      </w:pPr>
      <w:r w:rsidRPr="003532DF">
        <w:t>https://doi.org/10.1029/2019JG005464</w:t>
      </w:r>
    </w:p>
    <w:p w:rsidR="00DB42FE" w:rsidRPr="003532DF" w:rsidRDefault="00DB42FE" w:rsidP="00616347">
      <w:pPr>
        <w:pStyle w:val="EndNoteBibliography"/>
        <w:ind w:left="360"/>
      </w:pPr>
      <w:r w:rsidRPr="003532DF">
        <w:t>Abstract: Oregon estuaries provide important opportunities to assess controls on tidal saline wetland carbon burial and sediment accretion as both rates of relative sea level rise (RSLR; −1.4 ± 0.9 to 2.8 ± 0.8 mm yr</w:t>
      </w:r>
      <w:r w:rsidRPr="003532DF">
        <w:rPr>
          <w:vertAlign w:val="superscript"/>
        </w:rPr>
        <w:t>−1</w:t>
      </w:r>
      <w:r w:rsidRPr="003532DF">
        <w:t>) and fluvial suspended sediment load relative to estuary area (0.23 to 17 × 10</w:t>
      </w:r>
      <w:r w:rsidRPr="003532DF">
        <w:rPr>
          <w:vertAlign w:val="superscript"/>
        </w:rPr>
        <w:t>3</w:t>
      </w:r>
      <w:r w:rsidRPr="003532DF">
        <w:t xml:space="preserve"> t km</w:t>
      </w:r>
      <w:r w:rsidRPr="003532DF">
        <w:rPr>
          <w:vertAlign w:val="superscript"/>
        </w:rPr>
        <w:t>−2</w:t>
      </w:r>
      <w:r w:rsidRPr="003532DF">
        <w:t xml:space="preserve"> yr</w:t>
      </w:r>
      <w:r w:rsidRPr="003532DF">
        <w:rPr>
          <w:vertAlign w:val="superscript"/>
        </w:rPr>
        <w:t>−1</w:t>
      </w:r>
      <w:r w:rsidRPr="003532DF">
        <w:t xml:space="preserve">) vary along the coast. We hypothesized that vertical accretion, measured using excess </w:t>
      </w:r>
      <w:r w:rsidRPr="003532DF">
        <w:rPr>
          <w:vertAlign w:val="superscript"/>
        </w:rPr>
        <w:t>210</w:t>
      </w:r>
      <w:r w:rsidRPr="003532DF">
        <w:t>Pb in least‐disturbed wetlands within seven Oregon estuaries, would vary with either RSLR or sediment load relative to estuary area, and carbon burial would correlate strongly to sediment accretion. Mean rates of high marsh accretion (0.8 ± 0.2 to 4.1 ± 0.2 mm yr</w:t>
      </w:r>
      <w:r w:rsidRPr="003532DF">
        <w:rPr>
          <w:vertAlign w:val="superscript"/>
        </w:rPr>
        <w:t>−1</w:t>
      </w:r>
      <w:r w:rsidRPr="003532DF">
        <w:t>) indicate that Oregon tidal wetlands have mainly kept pace with twentieth‐century RSLR with the exception that the accretionary balance in the central coast is negative, suggesting drowning. Experiencing the fastest rates of RSLR, central‐coast estuaries may foreshadow the fates of other Oregon estuaries under future accelerated sea level rise. Comparison of mass accumulation rates with sediment loads, however, indicates low trapping efficiency and therefore no fluvial sediment limitation. Thus, nonlinear feedback between RSLR and sediment accretion may enhance wetland resistance to drowning. Among wetlands keeping pace with or exceeding RSLR, sediment accretion displays no significant relationship with elevation but rather appears controlled by both the rate of RSLR and relative sediment load, highlighting the importance of incorporating both factors into future studies of tidal saline wetlands. Carbon burial rates, controlled by sediment accretion, will likely increase with future accelerated sea level rise.</w:t>
      </w:r>
    </w:p>
    <w:p w:rsidR="00DB42FE" w:rsidRPr="003532DF" w:rsidRDefault="00DB42FE" w:rsidP="00616347">
      <w:pPr>
        <w:pStyle w:val="EndNoteBibliography"/>
        <w:spacing w:after="0"/>
        <w:ind w:left="360"/>
      </w:pPr>
      <w:r w:rsidRPr="003532DF">
        <w:t xml:space="preserve">Plain Language Summary: Salt marshes and brackish scrub‐shrub and forested tidal wetlands, collectively known as tidal saline wetlands, provide valuable services such as habitat for wildlife, protection from coastal flooding, and carbon sequestration. Despite their importance, tidal saline wetlands are threatened by sea level rise and scientists must better understand what controls their growth so as to make predictions of their future survival. Additionally, sediment accumulation within tidal saline wetlands is an important control on the amount of carbon sequestered in coastal areas; thus, understanding how these systems will evolve in the coming decades may shed light on the global carbon cycle and climate change. New results from the Oregon coast indicate that both the local pace of sea level rise and the amount of sediment delivered by rivers control tidal saline wetland growth. Because sea level rise is relatively slow in Oregon and Pacific Northwest rivers deliver relatively high amounts of sediment to the coast, Oregon tidal saline wetlands may be resistant to future drowning. However, of the seven estuaries studied, two showed evidence of </w:t>
      </w:r>
      <w:r w:rsidRPr="003532DF">
        <w:lastRenderedPageBreak/>
        <w:t>drowning over the last century; the reasons for this are unclear but may relate to the local pace of sea level rise or other processes not accounted for in this study.</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Peketi, A., Mazumdar, A., Pillutla, S.P.K., Patil, D.J., </w:t>
      </w:r>
      <w:r w:rsidR="00616347">
        <w:t xml:space="preserve">2020. </w:t>
      </w:r>
      <w:r w:rsidRPr="003532DF">
        <w:t>Influence of dual sulfate reduction pathways on pore-fluid chemistry and occurrences of methane hydrate in sediment cores (IODP-353) off Mahanadi basin, Bay of Bengal. GEOCHEMICAL JOURNAL 54, 1-11.</w:t>
      </w:r>
    </w:p>
    <w:p w:rsidR="00DB42FE" w:rsidRPr="003532DF" w:rsidRDefault="00DB42FE" w:rsidP="00616347">
      <w:pPr>
        <w:pStyle w:val="EndNoteBibliography"/>
        <w:ind w:left="360"/>
      </w:pPr>
      <w:r w:rsidRPr="003532DF">
        <w:t>https://doi.org/10.2343/geochemj.2.0576</w:t>
      </w:r>
    </w:p>
    <w:p w:rsidR="00DB42FE" w:rsidRPr="003532DF" w:rsidRDefault="00DB42FE" w:rsidP="00616347">
      <w:pPr>
        <w:pStyle w:val="EndNoteBibliography"/>
        <w:spacing w:after="0"/>
        <w:ind w:left="360"/>
      </w:pPr>
      <w:r w:rsidRPr="003532DF">
        <w:t>Pore fluid chemistry of sediment cores from two coring sites collected from Mahanadi basin (Bay of Bengal) during IODP-353 was studied to understand the intra-basinal variation in microbially mediated sediment biogeochemistry as well as methane hydrate occurrences. The ionic concentrations of SO</w:t>
      </w:r>
      <w:r w:rsidRPr="003532DF">
        <w:rPr>
          <w:vertAlign w:val="subscript"/>
        </w:rPr>
        <w:t>4</w:t>
      </w:r>
      <w:r w:rsidRPr="003532DF">
        <w:rPr>
          <w:vertAlign w:val="superscript"/>
        </w:rPr>
        <w:t>2−</w:t>
      </w:r>
      <w:r w:rsidRPr="003532DF">
        <w:t xml:space="preserve"> shows quasi-linear profiles reflecting the steady-state situation in a dominantly diffusion controlled system. Pore-water (ΔTA + ΔCa</w:t>
      </w:r>
      <w:r w:rsidRPr="003532DF">
        <w:rPr>
          <w:vertAlign w:val="superscript"/>
        </w:rPr>
        <w:t>2+</w:t>
      </w:r>
      <w:r w:rsidRPr="003532DF">
        <w:t xml:space="preserve"> + ΔMg</w:t>
      </w:r>
      <w:r w:rsidRPr="003532DF">
        <w:rPr>
          <w:vertAlign w:val="superscript"/>
        </w:rPr>
        <w:t>2+</w:t>
      </w:r>
      <w:r w:rsidRPr="003532DF">
        <w:t>)/ΔSO</w:t>
      </w:r>
      <w:r w:rsidRPr="003532DF">
        <w:rPr>
          <w:vertAlign w:val="subscript"/>
        </w:rPr>
        <w:t>4</w:t>
      </w:r>
      <w:r w:rsidRPr="003532DF">
        <w:rPr>
          <w:vertAlign w:val="superscript"/>
        </w:rPr>
        <w:t>2−</w:t>
      </w:r>
      <w:r w:rsidRPr="003532DF">
        <w:t xml:space="preserve"> ratios and δ</w:t>
      </w:r>
      <w:r w:rsidRPr="003532DF">
        <w:rPr>
          <w:vertAlign w:val="superscript"/>
        </w:rPr>
        <w:t>13</w:t>
      </w:r>
      <w:r w:rsidRPr="003532DF">
        <w:t>C</w:t>
      </w:r>
      <w:r w:rsidRPr="003532DF">
        <w:rPr>
          <w:vertAlign w:val="subscript"/>
        </w:rPr>
        <w:t>DIC</w:t>
      </w:r>
      <w:r w:rsidRPr="003532DF">
        <w:t xml:space="preserve"> depth profiles suggest the influence of dual sulfate reduction pathways (organo-clastic and anaerobic methane oxidation) on the sediment fluid chemistry. δ</w:t>
      </w:r>
      <w:r w:rsidRPr="003532DF">
        <w:rPr>
          <w:vertAlign w:val="superscript"/>
        </w:rPr>
        <w:t>13</w:t>
      </w:r>
      <w:r w:rsidRPr="003532DF">
        <w:t>C</w:t>
      </w:r>
      <w:r w:rsidRPr="003532DF">
        <w:rPr>
          <w:vertAlign w:val="subscript"/>
        </w:rPr>
        <w:t>CH4</w:t>
      </w:r>
      <w:r w:rsidRPr="003532DF">
        <w:t xml:space="preserve"> values indicate microbial origin of methane. The lowest δ</w:t>
      </w:r>
      <w:r w:rsidRPr="003532DF">
        <w:rPr>
          <w:vertAlign w:val="superscript"/>
        </w:rPr>
        <w:t>13</w:t>
      </w:r>
      <w:r w:rsidRPr="003532DF">
        <w:t>C</w:t>
      </w:r>
      <w:r w:rsidRPr="003532DF">
        <w:rPr>
          <w:vertAlign w:val="subscript"/>
        </w:rPr>
        <w:t>CH4</w:t>
      </w:r>
      <w:r w:rsidRPr="003532DF">
        <w:t xml:space="preserve"> values in the present study are reported from the sulfate methane transition zone (SMTZ) and attributed to secondary methane generation via microbial recycling of </w:t>
      </w:r>
      <w:r w:rsidRPr="003532DF">
        <w:rPr>
          <w:vertAlign w:val="superscript"/>
        </w:rPr>
        <w:t>13</w:t>
      </w:r>
      <w:r w:rsidRPr="003532DF">
        <w:t>C depleted DIC produced through AOM. Based on the drop in Cl</w:t>
      </w:r>
      <w:r w:rsidRPr="003532DF">
        <w:rPr>
          <w:vertAlign w:val="superscript"/>
        </w:rPr>
        <w:t>−</w:t>
      </w:r>
      <w:r w:rsidRPr="003532DF">
        <w:t xml:space="preserve"> concentrations relative to the ambient sea-water, we predict the occurrence of disperse/pore-filling methane hydrates in the site U1445 proximal to the basin in which the SMTZ is slightly deeper from the surface compared to the distal (northern) U1446 site.</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Peng, F., Xiong, K., Wang, R., Li, Y., Guo, Z., Feng, G., </w:t>
      </w:r>
      <w:r w:rsidR="00616347">
        <w:t xml:space="preserve">2020. </w:t>
      </w:r>
      <w:r w:rsidRPr="003532DF">
        <w:t xml:space="preserve">Molecular insight into microbehaviors of </w:t>
      </w:r>
      <w:r w:rsidRPr="003532DF">
        <w:rPr>
          <w:i/>
        </w:rPr>
        <w:t>n</w:t>
      </w:r>
      <w:r w:rsidRPr="003532DF">
        <w:t>-decane and CO</w:t>
      </w:r>
      <w:r w:rsidRPr="003532DF">
        <w:rPr>
          <w:vertAlign w:val="subscript"/>
        </w:rPr>
        <w:t>2</w:t>
      </w:r>
      <w:r w:rsidRPr="003532DF">
        <w:t xml:space="preserve"> in mineral nanopores. Energy &amp; Fuels 34, 2925-2935.</w:t>
      </w:r>
    </w:p>
    <w:p w:rsidR="00DB42FE" w:rsidRPr="003532DF" w:rsidRDefault="00DB42FE" w:rsidP="00616347">
      <w:pPr>
        <w:pStyle w:val="EndNoteBibliography"/>
        <w:ind w:left="360"/>
      </w:pPr>
      <w:r w:rsidRPr="003532DF">
        <w:t>https://doi.org/10.1021/acs.energyfuels.9b04125</w:t>
      </w:r>
    </w:p>
    <w:p w:rsidR="00DB42FE" w:rsidRPr="003532DF" w:rsidRDefault="00DB42FE" w:rsidP="00616347">
      <w:pPr>
        <w:pStyle w:val="EndNoteBibliography"/>
        <w:spacing w:after="0"/>
        <w:ind w:left="360"/>
      </w:pPr>
      <w:r w:rsidRPr="003532DF">
        <w:t xml:space="preserve">Nanopores are abundant in unconventional reservoirs. Understanding the microbehaviors of oil confined at such a small scale is favorable to the enhancement of oil recovery. In this study, molecular dynamics simulations were performed to investigate the adsorption behaviors and structural properties of </w:t>
      </w:r>
      <w:r w:rsidRPr="003532DF">
        <w:rPr>
          <w:i/>
        </w:rPr>
        <w:t>n</w:t>
      </w:r>
      <w:r w:rsidRPr="003532DF">
        <w:t>-decane + CO</w:t>
      </w:r>
      <w:r w:rsidRPr="003532DF">
        <w:rPr>
          <w:vertAlign w:val="subscript"/>
        </w:rPr>
        <w:t>2</w:t>
      </w:r>
      <w:r w:rsidRPr="003532DF">
        <w:t xml:space="preserve"> mixtures confined within quartz, calcite, and clay nanopores. First, comparing the peak of </w:t>
      </w:r>
      <w:r w:rsidRPr="003532DF">
        <w:rPr>
          <w:i/>
        </w:rPr>
        <w:t>n</w:t>
      </w:r>
      <w:r w:rsidRPr="003532DF">
        <w:t xml:space="preserve">-decane density distribution in the first adsorbed layer and the interactions between rock surfaces and </w:t>
      </w:r>
      <w:r w:rsidRPr="003532DF">
        <w:rPr>
          <w:i/>
        </w:rPr>
        <w:t>n</w:t>
      </w:r>
      <w:r w:rsidRPr="003532DF">
        <w:t xml:space="preserve">-decane, we found that the adsorption strength of </w:t>
      </w:r>
      <w:r w:rsidRPr="003532DF">
        <w:rPr>
          <w:i/>
        </w:rPr>
        <w:t>n</w:t>
      </w:r>
      <w:r w:rsidRPr="003532DF">
        <w:t xml:space="preserve">-decane on various minerals follows the order calcite &gt; kaolinite &gt; montmorillonite &gt; quartz &gt; illite. Second, the distributions of </w:t>
      </w:r>
      <w:r w:rsidRPr="003532DF">
        <w:rPr>
          <w:i/>
        </w:rPr>
        <w:t>n</w:t>
      </w:r>
      <w:r w:rsidRPr="003532DF">
        <w:t xml:space="preserve">-decane on different mineral surfaces were analyzed, revealing that the strong adsorption of calcite is due to the strong interactions between Ca atoms in calcite and </w:t>
      </w:r>
      <w:r w:rsidRPr="003532DF">
        <w:rPr>
          <w:i/>
        </w:rPr>
        <w:t>n</w:t>
      </w:r>
      <w:r w:rsidRPr="003532DF">
        <w:t xml:space="preserve">-decane, and the flexible H atoms on the surfaces of quartz and kaolinite make </w:t>
      </w:r>
      <w:r w:rsidRPr="003532DF">
        <w:rPr>
          <w:i/>
        </w:rPr>
        <w:t>n</w:t>
      </w:r>
      <w:r w:rsidRPr="003532DF">
        <w:t xml:space="preserve">-decane distribute evenly. Then, the effects of pore size, filling fraction and pressure on the structural properties of </w:t>
      </w:r>
      <w:r w:rsidRPr="003532DF">
        <w:rPr>
          <w:i/>
        </w:rPr>
        <w:t>n</w:t>
      </w:r>
      <w:r w:rsidRPr="003532DF">
        <w:t xml:space="preserve">-decane were explored. Results show that the adsorbed layers remained unchanged when the pore size is big enough for </w:t>
      </w:r>
      <w:r w:rsidRPr="003532DF">
        <w:rPr>
          <w:i/>
        </w:rPr>
        <w:t>n</w:t>
      </w:r>
      <w:r w:rsidRPr="003532DF">
        <w:t>-decane (</w:t>
      </w:r>
      <w:r w:rsidRPr="003532DF">
        <w:rPr>
          <w:rFonts w:ascii="Cambria Math" w:hAnsi="Cambria Math" w:cs="Cambria Math"/>
        </w:rPr>
        <w:t>∼</w:t>
      </w:r>
      <w:r w:rsidRPr="003532DF">
        <w:t xml:space="preserve">3 nm) to form a bulk region, while the peak in the adsorbed layers and the number of adsorbed layers vary with the pore size when the pore size becomes smaller. The reduction of alkane filling fraction decreases the density of </w:t>
      </w:r>
      <w:r w:rsidRPr="003532DF">
        <w:rPr>
          <w:i/>
        </w:rPr>
        <w:t>n</w:t>
      </w:r>
      <w:r w:rsidRPr="003532DF">
        <w:t xml:space="preserve">-decane in the region far from the wall in advance, and then the density in the adsorbed layers. The density of </w:t>
      </w:r>
      <w:r w:rsidRPr="003532DF">
        <w:rPr>
          <w:i/>
        </w:rPr>
        <w:t>n</w:t>
      </w:r>
      <w:r w:rsidRPr="003532DF">
        <w:t>-decane in the adsorbed layer decreases greatly with the increase of pressure (by adding CO</w:t>
      </w:r>
      <w:r w:rsidRPr="003532DF">
        <w:rPr>
          <w:vertAlign w:val="subscript"/>
        </w:rPr>
        <w:t>2</w:t>
      </w:r>
      <w:r w:rsidRPr="003532DF">
        <w:t>), showing good oil displacement by CO</w:t>
      </w:r>
      <w:r w:rsidRPr="003532DF">
        <w:rPr>
          <w:vertAlign w:val="subscript"/>
        </w:rPr>
        <w:t>2</w:t>
      </w:r>
      <w:r w:rsidRPr="003532DF">
        <w:t>. This work provides new molecular insights to CO</w:t>
      </w:r>
      <w:r w:rsidRPr="003532DF">
        <w:rPr>
          <w:vertAlign w:val="subscript"/>
        </w:rPr>
        <w:t>2</w:t>
      </w:r>
      <w:r w:rsidRPr="003532DF">
        <w:t xml:space="preserve"> enhanced oil recovery.</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lastRenderedPageBreak/>
        <w:t xml:space="preserve">Perryman, C.R., McCalley, C.K., Malhotra, A., Fahnestock, M.F., Kashi, N.N., Bryce, J.G., Giesler, R., Varner, R.K., </w:t>
      </w:r>
      <w:r w:rsidR="00616347">
        <w:t xml:space="preserve">2020. </w:t>
      </w:r>
      <w:r w:rsidRPr="003532DF">
        <w:t>Thaw transitions and redox conditions drive methane oxidation in a permafrost peatland. Journal of Geophysical Research: Biogeosciences 125, e2019JG005526.</w:t>
      </w:r>
    </w:p>
    <w:p w:rsidR="00DB42FE" w:rsidRPr="003532DF" w:rsidRDefault="00DB42FE" w:rsidP="00616347">
      <w:pPr>
        <w:pStyle w:val="EndNoteBibliography"/>
        <w:ind w:left="360"/>
      </w:pPr>
      <w:r w:rsidRPr="003532DF">
        <w:t>https://doi.org/10.1029/2019JG005526</w:t>
      </w:r>
    </w:p>
    <w:p w:rsidR="00DB42FE" w:rsidRPr="003532DF" w:rsidRDefault="00DB42FE" w:rsidP="00616347">
      <w:pPr>
        <w:pStyle w:val="EndNoteBibliography"/>
        <w:ind w:left="360"/>
      </w:pPr>
      <w:r w:rsidRPr="003532DF">
        <w:t>Abstract: Permafrost peatlands are a significant source of methane (CH</w:t>
      </w:r>
      <w:r w:rsidRPr="003532DF">
        <w:rPr>
          <w:vertAlign w:val="subscript"/>
        </w:rPr>
        <w:t>4</w:t>
      </w:r>
      <w:r w:rsidRPr="003532DF">
        <w:t>) emissions to the atmosphere and could emit more CH</w:t>
      </w:r>
      <w:r w:rsidRPr="003532DF">
        <w:rPr>
          <w:vertAlign w:val="subscript"/>
        </w:rPr>
        <w:t>4</w:t>
      </w:r>
      <w:r w:rsidRPr="003532DF">
        <w:t xml:space="preserve"> with continued permafrost thaw. Aerobic methane‐oxidizing bacteria may attenuate a substantial fraction of CH</w:t>
      </w:r>
      <w:r w:rsidRPr="003532DF">
        <w:rPr>
          <w:vertAlign w:val="subscript"/>
        </w:rPr>
        <w:t>4</w:t>
      </w:r>
      <w:r w:rsidRPr="003532DF">
        <w:t xml:space="preserve"> emissions in thawing permafrost peatlands; however, the impact of permafrost thaw on CH</w:t>
      </w:r>
      <w:r w:rsidRPr="003532DF">
        <w:rPr>
          <w:vertAlign w:val="subscript"/>
        </w:rPr>
        <w:t>4</w:t>
      </w:r>
      <w:r w:rsidRPr="003532DF">
        <w:t xml:space="preserve"> oxidation is uncertain. We measured potential CH</w:t>
      </w:r>
      <w:r w:rsidRPr="003532DF">
        <w:rPr>
          <w:vertAlign w:val="subscript"/>
        </w:rPr>
        <w:t>4</w:t>
      </w:r>
      <w:r w:rsidRPr="003532DF">
        <w:t xml:space="preserve"> oxidation rates (hereafter, CH</w:t>
      </w:r>
      <w:r w:rsidRPr="003532DF">
        <w:rPr>
          <w:vertAlign w:val="subscript"/>
        </w:rPr>
        <w:t>4</w:t>
      </w:r>
      <w:r w:rsidRPr="003532DF">
        <w:t xml:space="preserve"> oxidation) and their predictors using laboratory incubations and in situ porewater redox chemistry across a permafrost thaw gradient of eight thaw stages at Stordalen Mire, a permafrost peatland complex in northernmost Sweden. Methane oxidation rates increased across a gradient of permafrost thaw and differed in transitional thaw stages relative to end‐member stages. Oxidation was consistently higher in submerged fens than in bogs or palsas across a range of CH</w:t>
      </w:r>
      <w:r w:rsidRPr="003532DF">
        <w:rPr>
          <w:vertAlign w:val="subscript"/>
        </w:rPr>
        <w:t>4</w:t>
      </w:r>
      <w:r w:rsidRPr="003532DF">
        <w:t xml:space="preserve"> concentrations. We also observed that CH</w:t>
      </w:r>
      <w:r w:rsidRPr="003532DF">
        <w:rPr>
          <w:vertAlign w:val="subscript"/>
        </w:rPr>
        <w:t>4</w:t>
      </w:r>
      <w:r w:rsidRPr="003532DF">
        <w:t xml:space="preserve"> oxidation increased with decreasing in situ redox potential and was highest in sites with lower redox potential (Eh &lt; 10 mV) and high water table. Our results suggest that redox potential can be used as an important predictor of CH</w:t>
      </w:r>
      <w:r w:rsidRPr="003532DF">
        <w:rPr>
          <w:vertAlign w:val="subscript"/>
        </w:rPr>
        <w:t>4</w:t>
      </w:r>
      <w:r w:rsidRPr="003532DF">
        <w:t xml:space="preserve"> oxidation, especially in thawed permafrost peatlands. Our results also highlight the importance of considering transitional thaw stages when characterizing landscape‐scale CH</w:t>
      </w:r>
      <w:r w:rsidRPr="003532DF">
        <w:rPr>
          <w:vertAlign w:val="subscript"/>
        </w:rPr>
        <w:t>4</w:t>
      </w:r>
      <w:r w:rsidRPr="003532DF">
        <w:t xml:space="preserve"> dynamics, because these transitional areas have different rates and controls of CH</w:t>
      </w:r>
      <w:r w:rsidRPr="003532DF">
        <w:rPr>
          <w:vertAlign w:val="subscript"/>
        </w:rPr>
        <w:t>4</w:t>
      </w:r>
      <w:r w:rsidRPr="003532DF">
        <w:t xml:space="preserve"> oxidation relative to intact or completely thawed permafrost areas. As permafrost thaw increases the total area of semiwet and wet thaw stages in permafrost peatlands, CH</w:t>
      </w:r>
      <w:r w:rsidRPr="003532DF">
        <w:rPr>
          <w:vertAlign w:val="subscript"/>
        </w:rPr>
        <w:t>4</w:t>
      </w:r>
      <w:r w:rsidRPr="003532DF">
        <w:t xml:space="preserve"> oxidation represents an important control on CH</w:t>
      </w:r>
      <w:r w:rsidRPr="003532DF">
        <w:rPr>
          <w:vertAlign w:val="subscript"/>
        </w:rPr>
        <w:t>4</w:t>
      </w:r>
      <w:r w:rsidRPr="003532DF">
        <w:t xml:space="preserve"> emissions to the atmosphere.</w:t>
      </w:r>
    </w:p>
    <w:p w:rsidR="00DB42FE" w:rsidRPr="003532DF" w:rsidRDefault="00DB42FE" w:rsidP="00616347">
      <w:pPr>
        <w:pStyle w:val="EndNoteBibliography"/>
        <w:spacing w:after="0"/>
        <w:ind w:left="360"/>
      </w:pPr>
      <w:r w:rsidRPr="003532DF">
        <w:t>Plain Language Summary: Thawing permafrost, ground that has been frozen for 2 or more years, often results in wet conditions that promote the production of methane (CH</w:t>
      </w:r>
      <w:r w:rsidRPr="003532DF">
        <w:rPr>
          <w:vertAlign w:val="subscript"/>
        </w:rPr>
        <w:t>4</w:t>
      </w:r>
      <w:r w:rsidRPr="003532DF">
        <w:t>). Methane is a greenhouse gas that is over 30 times more powerful than carbon dioxide at warming the atmosphere. Microorganisms called methanotrophs can consume a substantial portion of this CH</w:t>
      </w:r>
      <w:r w:rsidRPr="003532DF">
        <w:rPr>
          <w:vertAlign w:val="subscript"/>
        </w:rPr>
        <w:t>4</w:t>
      </w:r>
      <w:r w:rsidRPr="003532DF">
        <w:t xml:space="preserve"> before it reaches the atmosphere, but the extent of this consumption is not well understood. Methanotrophs are affected by environmental conditions, such as oxygen availability, that change with permafrost thaw. We used laboratory experiments to measure how quickly methanotrophs consume CH</w:t>
      </w:r>
      <w:r w:rsidRPr="003532DF">
        <w:rPr>
          <w:vertAlign w:val="subscript"/>
        </w:rPr>
        <w:t>4</w:t>
      </w:r>
      <w:r w:rsidRPr="003532DF">
        <w:t xml:space="preserve"> from sites within a permafrost peatland with little, intermediate, and full permafrost thaw. We found that CH</w:t>
      </w:r>
      <w:r w:rsidRPr="003532DF">
        <w:rPr>
          <w:vertAlign w:val="subscript"/>
        </w:rPr>
        <w:t>4</w:t>
      </w:r>
      <w:r w:rsidRPr="003532DF">
        <w:t xml:space="preserve"> consumption increased as permafrost thawed and that sites transitioning between thaw stages had a different potential to consume CH</w:t>
      </w:r>
      <w:r w:rsidRPr="003532DF">
        <w:rPr>
          <w:vertAlign w:val="subscript"/>
        </w:rPr>
        <w:t>4</w:t>
      </w:r>
      <w:r w:rsidRPr="003532DF">
        <w:t xml:space="preserve"> than intact and fully thawed sites. Methane consumption was also high in locations with low dissolved oxygen, which suggests that methanotrophs in these sites may tolerate low oxygen conditions in the field. We found that redox potential, a measurement that describes the tendency for a compound to be oxidized or reduced, was a strong predictor of CH</w:t>
      </w:r>
      <w:r w:rsidRPr="003532DF">
        <w:rPr>
          <w:vertAlign w:val="subscript"/>
        </w:rPr>
        <w:t>4</w:t>
      </w:r>
      <w:r w:rsidRPr="003532DF">
        <w:t xml:space="preserve"> consumption in partially and fully thawed sites. These measurements highlight the potential for methanotrophs to mitigate CH</w:t>
      </w:r>
      <w:r w:rsidRPr="003532DF">
        <w:rPr>
          <w:vertAlign w:val="subscript"/>
        </w:rPr>
        <w:t>4</w:t>
      </w:r>
      <w:r w:rsidRPr="003532DF">
        <w:t xml:space="preserve"> emissions in peatlands with thawing permafrost and provide new insights to modeling CH</w:t>
      </w:r>
      <w:r w:rsidRPr="003532DF">
        <w:rPr>
          <w:vertAlign w:val="subscript"/>
        </w:rPr>
        <w:t>4</w:t>
      </w:r>
      <w:r w:rsidRPr="003532DF">
        <w:t xml:space="preserve"> dynamics across the full thaw gradient.</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Pezzatti, J., Boccard, J., Sanchez, S.C., Gagnebin, Y., Joshi, A., Picard, D., González-Ruiz, V., Rudaz, S., </w:t>
      </w:r>
      <w:r w:rsidR="00616347">
        <w:t xml:space="preserve">2020. </w:t>
      </w:r>
      <w:r w:rsidRPr="003532DF">
        <w:t>Implementation of liquid chromatography–high resolution mass spectrometry methods for untargeted metabolomic analyses of biological samples: a tutorial. Analytica Chimica Acta 1105, 28-44.</w:t>
      </w:r>
    </w:p>
    <w:p w:rsidR="00DB42FE" w:rsidRPr="003532DF" w:rsidRDefault="00DB42FE" w:rsidP="00616347">
      <w:pPr>
        <w:pStyle w:val="EndNoteBibliography"/>
        <w:ind w:left="360"/>
      </w:pPr>
      <w:r w:rsidRPr="003532DF">
        <w:t>http://www.sciencedirect.com/science/article/pii/S0003267019315326</w:t>
      </w:r>
    </w:p>
    <w:p w:rsidR="00DB42FE" w:rsidRPr="003532DF" w:rsidRDefault="00DB42FE" w:rsidP="00616347">
      <w:pPr>
        <w:pStyle w:val="EndNoteBibliography"/>
        <w:spacing w:after="0"/>
        <w:ind w:left="360"/>
      </w:pPr>
      <w:r w:rsidRPr="003532DF">
        <w:lastRenderedPageBreak/>
        <w:t>Untargeted metabolomics is now widely recognized as a useful tool for exploring metabolic changes taking place in biological systems under different conditions. By its nature, this is a highly interdisciplinary field of research, and mastering all of the steps comprised in the pipeline can be a challenging task, especially for those researchers new to the topic. In this tutorial, we aim to provide an overview of the most widely adopted methods of performing LC-HRMS-based untargeted metabolomics of biological samples. A detailed protocol is provided in the Supplementary Information for rapidly implementing a basic screening workflow in a laboratory setting. This tutorial covers experimental design, sample preparation and analysis, signal processing and data treatment, and, finally, data analysis and its biological interpretation. Each section is accompanied by up-to-date literature to guide readers through the preparation and optimization of such a workflow, as well as practical information for avoiding or fixing some of the most frequently encountered pitfalls.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Piazza, V., Ullmann, C.V., Aberhan, M., </w:t>
      </w:r>
      <w:r w:rsidR="00616347">
        <w:t xml:space="preserve">2020. </w:t>
      </w:r>
      <w:r w:rsidRPr="003532DF">
        <w:t>Temperature-related body size change of marine benthic macroinvertebrates across the Early Toarcian Anoxic Event. Scientific Reports 10, 4675.</w:t>
      </w:r>
    </w:p>
    <w:p w:rsidR="00DB42FE" w:rsidRPr="003532DF" w:rsidRDefault="00DB42FE" w:rsidP="00616347">
      <w:pPr>
        <w:pStyle w:val="EndNoteBibliography"/>
        <w:ind w:left="360"/>
      </w:pPr>
      <w:r w:rsidRPr="003532DF">
        <w:t>https://doi.org/10.1038/s41598-020-61393-5</w:t>
      </w:r>
    </w:p>
    <w:p w:rsidR="00DB42FE" w:rsidRPr="003532DF" w:rsidRDefault="00DB42FE" w:rsidP="00616347">
      <w:pPr>
        <w:pStyle w:val="EndNoteBibliography"/>
        <w:spacing w:after="0"/>
        <w:ind w:left="360"/>
      </w:pPr>
      <w:r w:rsidRPr="003532DF">
        <w:t>The Toarcian Oceanic Anoxic Event (TOAE, Early Jurassic, ~182 Ma ago) was characterised by severe environmental perturbations which led to habitat degradation and extinction of marine species. Warming-induced anoxia is usually identified as main driver, but because marine life was also affected in oxygenated environments the role of raised temperature and its effects on marine life need to be addressed. Body size is a fundamental characteristic of organisms and is expected to decrease as a response to heat stress. We present quantitative size data of bivalves and brachiopods across the TOAE from oxygenated habitats in the Iberian Basin, integrated with geochemical proxy data (δ</w:t>
      </w:r>
      <w:r w:rsidRPr="003532DF">
        <w:rPr>
          <w:vertAlign w:val="superscript"/>
        </w:rPr>
        <w:t>13</w:t>
      </w:r>
      <w:r w:rsidRPr="003532DF">
        <w:t>C and δ</w:t>
      </w:r>
      <w:r w:rsidRPr="003532DF">
        <w:rPr>
          <w:vertAlign w:val="superscript"/>
        </w:rPr>
        <w:t>18</w:t>
      </w:r>
      <w:r w:rsidRPr="003532DF">
        <w:t>O), to investigate the relationship between changes in temperature and body size. We find a strong negative correlation between the mean shell size of bivalve communities and isotope-derived temperature estimates, suggesting heat stress as a main cause of body size reduction. While within-species size changes were minor, we identify changes in the abundance of differently sized species as the dominant mechanism of reduced community shell size during the TOAE. Brachiopods experienced a wholesale turnover across the early warming phase and were replaced by a virtually monotypic assemblage of a smaller-sized, opportunistic species.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Pico, T., Mitrovica, J.X., Mix, A.C., </w:t>
      </w:r>
      <w:r w:rsidR="00616347">
        <w:t xml:space="preserve">2020. </w:t>
      </w:r>
      <w:r w:rsidRPr="003532DF">
        <w:t>Sea level fingerprinting of the Bering Strait flooding history detects the source of the Younger Dryas climate event. Science Advances 6, eaay2935.</w:t>
      </w:r>
    </w:p>
    <w:p w:rsidR="00DB42FE" w:rsidRPr="003532DF" w:rsidRDefault="00DB42FE" w:rsidP="00616347">
      <w:pPr>
        <w:pStyle w:val="EndNoteBibliography"/>
        <w:ind w:left="360"/>
      </w:pPr>
      <w:r w:rsidRPr="003532DF">
        <w:t>http://advances.sciencemag.org/content/6/9/eaay2935.abstract</w:t>
      </w:r>
    </w:p>
    <w:p w:rsidR="00DB42FE" w:rsidRPr="003532DF" w:rsidRDefault="00DB42FE" w:rsidP="00616347">
      <w:pPr>
        <w:pStyle w:val="EndNoteBibliography"/>
        <w:spacing w:after="0"/>
        <w:ind w:left="360"/>
      </w:pPr>
      <w:r w:rsidRPr="003532DF">
        <w:t xml:space="preserve">During the Last Glacial Maximum, expansive continental ice sheets lowered globally averaged sea level ~130 m, exposing a land bridge at the Bering Strait. During the subsequent deglaciation, sea level rose rapidly and ultimately flooded the Bering Strait, linking the Arctic and Pacific Oceans. Observational records of the Bering Strait flooding have suggested two apparently contradictory scenarios for the timing of the reconnection. We reconcile these enigmatic datasets using gravitationally self-consistent sea-level simulations that vary the timing and geometry of ice retreat between the Laurentide and Cordilleran Ice Sheets to the southwest of the Bering Strait to fit observations of a two-phased flooding history. Assuming the datasets are robust, we demonstrate that their reconciliation requires a substantial melting of the Cordilleran and western Laurentide Ice </w:t>
      </w:r>
      <w:r w:rsidRPr="003532DF">
        <w:lastRenderedPageBreak/>
        <w:t>Sheet from 13,000 to 11,500 years ago. This timing provides a freshwater source for the widely debated Younger Dryas cold episode (12,900 to 11,700 years ago).</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Piendl, S.K., Geissler, D., Weigelt, L., Belder, D., </w:t>
      </w:r>
      <w:r w:rsidR="00616347">
        <w:t xml:space="preserve">2020. </w:t>
      </w:r>
      <w:r w:rsidRPr="003532DF">
        <w:t>Multiple heart-cutting two-dimensional chip-HPLC combined with deep-UV fluorescence and mass spectrometric detection. Analytical Chemistry 92, 3795-3803.</w:t>
      </w:r>
    </w:p>
    <w:p w:rsidR="00DB42FE" w:rsidRPr="003532DF" w:rsidRDefault="00DB42FE" w:rsidP="00616347">
      <w:pPr>
        <w:pStyle w:val="EndNoteBibliography"/>
        <w:ind w:left="360"/>
      </w:pPr>
      <w:r w:rsidRPr="003532DF">
        <w:t>https://doi.org/10.1021/acs.analchem.9b05206</w:t>
      </w:r>
    </w:p>
    <w:p w:rsidR="00DB42FE" w:rsidRPr="003532DF" w:rsidRDefault="00DB42FE" w:rsidP="00616347">
      <w:pPr>
        <w:pStyle w:val="EndNoteBibliography"/>
        <w:spacing w:after="0"/>
        <w:ind w:left="360"/>
      </w:pPr>
      <w:r w:rsidRPr="003532DF">
        <w:t>In this work, we introduce a new two-dimensional chip-based high-performance liquid chromatography (2D chip-HPLC) approach, which enables multiple transfers from the first dimension effluent onto the column head of the second separation dimension. By merging injection, separation, and detection features on a fused silica chip in a dead volume-free manner, all extra-column peak dispersion effects can be reduced to an absolute minimum. The application of intrinsic fluorescence detection with excitation in the deep-UV spectral region and electrospray ionization mass spectrometry after the first and second separation dimension, respectively, enables the label-free analysis of complex samples, as exemplarily shown for a pesticide mixture and a tryptic digest.</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Potiszil, C., Tanaka, R., Ota, T., Kunihiro, T., Kobayashi, K., Nakamura, E., </w:t>
      </w:r>
      <w:r w:rsidR="00616347">
        <w:t xml:space="preserve">2020. </w:t>
      </w:r>
      <w:r w:rsidRPr="003532DF">
        <w:t>Concentration of meteoritic free organic matter by fluid transport and adsorption. Geochemical Perspectives Letters 13, 30-35.</w:t>
      </w:r>
    </w:p>
    <w:p w:rsidR="00DB42FE" w:rsidRPr="003532DF" w:rsidRDefault="00DB42FE" w:rsidP="00616347">
      <w:pPr>
        <w:pStyle w:val="EndNoteBibliography"/>
        <w:ind w:left="360"/>
      </w:pPr>
      <w:r w:rsidRPr="003532DF">
        <w:t>http://www.geochemicalperspectivesletters.org/article2010</w:t>
      </w:r>
    </w:p>
    <w:p w:rsidR="00DB42FE" w:rsidRPr="003532DF" w:rsidRDefault="00DB42FE" w:rsidP="00616347">
      <w:pPr>
        <w:pStyle w:val="EndNoteBibliography"/>
        <w:spacing w:after="0"/>
        <w:ind w:left="360"/>
      </w:pPr>
      <w:r w:rsidRPr="003532DF">
        <w:t>Carbonaceous chondrites contain many abiotic organic compounds, some of which are found in life on Earth. Both the mineral and organic matter phases, of these meteorites, have been affected by aqueous alteration processes. Whilst organic matter is known to be associated with phyllosilicate phases, no such relationship has yet been identified for specific organic compound classes. Furthermore, ongoing sample return missions, Hyabusa 2 and OSIRIS-Rex, are set to return potentially organic rich C-type asteroid samples to the Earth. Consequently, strategies to investigate organic-mineral relationships are required. Here we report spatial data for free/soluble organic matter (FOM/SOM) components (akylimidazole and alkylpyridine homologues) and mineral phases. Low and intermediate molecular weight alkylimidazole homologues are more widely distributed than higher molecular weight members, likely due to their affinity for the aqueous phase. On aqueous alteration of anhydrous mineral phases, transported FOM is adsorbed onto the surface or into the interlayers of the resulting phyllosilicates and thus concentrated and protected from oxidising fluids. Therefore, aiding the delivery of biologically relevant molecules to earth, shortly preceding the origin of life.</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Pourhadi, S., Hashemi Fath, A., </w:t>
      </w:r>
      <w:r w:rsidR="00616347">
        <w:t xml:space="preserve">2020. </w:t>
      </w:r>
      <w:r w:rsidRPr="003532DF">
        <w:t>Performance of the injection of different gases for enhanced oil recovery in a compositionally grading oil reservoir. Journal of Petroleum Exploration and Production Technology 10, 641-661.</w:t>
      </w:r>
    </w:p>
    <w:p w:rsidR="00DB42FE" w:rsidRPr="003532DF" w:rsidRDefault="00DB42FE" w:rsidP="00616347">
      <w:pPr>
        <w:pStyle w:val="EndNoteBibliography"/>
        <w:ind w:left="360"/>
      </w:pPr>
      <w:r w:rsidRPr="003532DF">
        <w:t>https://doi.org/10.1007/s13202-019-0723-9</w:t>
      </w:r>
    </w:p>
    <w:p w:rsidR="00DB42FE" w:rsidRPr="003532DF" w:rsidRDefault="00DB42FE" w:rsidP="00616347">
      <w:pPr>
        <w:pStyle w:val="EndNoteBibliography"/>
        <w:spacing w:after="0"/>
        <w:ind w:left="360"/>
      </w:pPr>
      <w:r w:rsidRPr="003532DF">
        <w:t xml:space="preserve">Reservoir fluid characterization is one of the most important steps in hydrocarbon reservoir engineering calculations and studies. The reservoir fluid composition is not constant along the entire </w:t>
      </w:r>
      <w:r w:rsidRPr="003532DF">
        <w:lastRenderedPageBreak/>
        <w:t>hydrocarbon column and varies along the vertical and horizontal directions. In most cases, such variations have been observed along the vertical direction. This is known as compositional grading phenomenon and has a strong impact on the calculation of original hydrocarbon in place, reservoir development, and oil recovery factor. In this paper, a simulation study was carried out to investigate the effects of compositional grading on reservoir fluid properties and the injection of various gases such as carbon dioxide (CO</w:t>
      </w:r>
      <w:r w:rsidRPr="003532DF">
        <w:rPr>
          <w:vertAlign w:val="subscript"/>
        </w:rPr>
        <w:t>2</w:t>
      </w:r>
      <w:r w:rsidRPr="003532DF">
        <w:t>), nitrogen (N</w:t>
      </w:r>
      <w:r w:rsidRPr="003532DF">
        <w:rPr>
          <w:vertAlign w:val="subscript"/>
        </w:rPr>
        <w:t>2</w:t>
      </w:r>
      <w:r w:rsidRPr="003532DF">
        <w:t>), associated petroleum gas (APG), N</w:t>
      </w:r>
      <w:r w:rsidRPr="003532DF">
        <w:rPr>
          <w:vertAlign w:val="subscript"/>
        </w:rPr>
        <w:t>2</w:t>
      </w:r>
      <w:r w:rsidRPr="003532DF">
        <w:t>–CO</w:t>
      </w:r>
      <w:r w:rsidRPr="003532DF">
        <w:rPr>
          <w:vertAlign w:val="subscript"/>
        </w:rPr>
        <w:t>2</w:t>
      </w:r>
      <w:r w:rsidRPr="003532DF">
        <w:t xml:space="preserve"> mixture, and water-alternating-CO</w:t>
      </w:r>
      <w:r w:rsidRPr="003532DF">
        <w:rPr>
          <w:vertAlign w:val="subscript"/>
        </w:rPr>
        <w:t>2</w:t>
      </w:r>
      <w:r w:rsidRPr="003532DF">
        <w:t xml:space="preserve"> injection into different depths of a conventional black oil reservoir in the southwest of Iran in order to detect the best injection depth and achieve the highest oil recovery factor. Due to increase in minimum miscibility pressure (MMP) with depth in compositionally grading reservoirs, MMP variations with depth is one of the main challenges in determining the optimal gas injection depth in such reservoirs. The results showed that N</w:t>
      </w:r>
      <w:r w:rsidRPr="003532DF">
        <w:rPr>
          <w:vertAlign w:val="subscript"/>
        </w:rPr>
        <w:t>2</w:t>
      </w:r>
      <w:r w:rsidRPr="003532DF">
        <w:t>, APG and N</w:t>
      </w:r>
      <w:r w:rsidRPr="003532DF">
        <w:rPr>
          <w:vertAlign w:val="subscript"/>
        </w:rPr>
        <w:t>2</w:t>
      </w:r>
      <w:r w:rsidRPr="003532DF">
        <w:t>–CO</w:t>
      </w:r>
      <w:r w:rsidRPr="003532DF">
        <w:rPr>
          <w:vertAlign w:val="subscript"/>
        </w:rPr>
        <w:t>2</w:t>
      </w:r>
      <w:r w:rsidRPr="003532DF">
        <w:t xml:space="preserve"> mixture were immiscibly injected into all depths of the reservoir due to their high miscibility pressures. The occurrence of gas override and channelling phenomena during the course of immiscible gas injection significantly reduced oil displacement efficiency. On the other hand, CO</w:t>
      </w:r>
      <w:r w:rsidRPr="003532DF">
        <w:rPr>
          <w:vertAlign w:val="subscript"/>
        </w:rPr>
        <w:t>2</w:t>
      </w:r>
      <w:r w:rsidRPr="003532DF">
        <w:t xml:space="preserve"> was miscibly injected to all reservoir layers and revealed a higher efficiency in comparison with the injection of N</w:t>
      </w:r>
      <w:r w:rsidRPr="003532DF">
        <w:rPr>
          <w:vertAlign w:val="subscript"/>
        </w:rPr>
        <w:t>2</w:t>
      </w:r>
      <w:r w:rsidRPr="003532DF">
        <w:t>, APG and N</w:t>
      </w:r>
      <w:r w:rsidRPr="003532DF">
        <w:rPr>
          <w:vertAlign w:val="subscript"/>
        </w:rPr>
        <w:t>2</w:t>
      </w:r>
      <w:r w:rsidRPr="003532DF">
        <w:t>–CO</w:t>
      </w:r>
      <w:r w:rsidRPr="003532DF">
        <w:rPr>
          <w:vertAlign w:val="subscript"/>
        </w:rPr>
        <w:t>2</w:t>
      </w:r>
      <w:r w:rsidRPr="003532DF">
        <w:t xml:space="preserve"> mixture. In fact, better miscibility development was observed in upper reservoir parts, as compared to the lower parts. Through completing injection wells at upper reservoir parts and then injecting gas into these parts, one can thus further enhance oil recovery and extend production plateau. Moreover, the results confirmed that water-alternating-CO</w:t>
      </w:r>
      <w:r w:rsidRPr="003532DF">
        <w:rPr>
          <w:vertAlign w:val="subscript"/>
        </w:rPr>
        <w:t>2</w:t>
      </w:r>
      <w:r w:rsidRPr="003532DF">
        <w:t xml:space="preserve"> injection into all reservoir depths, compared to other gas injection scenarios, was associated with increased macroscopic sweep efficiency as well as enhanced oil recovery factor.</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Prassack, K.A., DuBois, J., Lázničková-Galetová, M., Germonpré, M., Ungar, P.S., </w:t>
      </w:r>
      <w:r w:rsidR="00616347">
        <w:t xml:space="preserve">2020. </w:t>
      </w:r>
      <w:r w:rsidRPr="003532DF">
        <w:t>Dental microwear as a behavioral proxy for distinguishing between canids at the Upper Paleolithic (Gravettian) site of Předmostí, Czech Republic. Journal of Archaeological Science 115, 105092.</w:t>
      </w:r>
    </w:p>
    <w:p w:rsidR="00DB42FE" w:rsidRPr="003532DF" w:rsidRDefault="00DB42FE" w:rsidP="00616347">
      <w:pPr>
        <w:pStyle w:val="EndNoteBibliography"/>
        <w:ind w:left="360"/>
      </w:pPr>
      <w:r w:rsidRPr="003532DF">
        <w:t>http://www.sciencedirect.com/science/article/pii/S0305440320300169</w:t>
      </w:r>
    </w:p>
    <w:p w:rsidR="00DB42FE" w:rsidRPr="003532DF" w:rsidRDefault="00DB42FE" w:rsidP="00616347">
      <w:pPr>
        <w:pStyle w:val="EndNoteBibliography"/>
        <w:spacing w:after="0"/>
        <w:ind w:left="360"/>
      </w:pPr>
      <w:r w:rsidRPr="003532DF">
        <w:t>Morphological and genetic evidence put dog domestication during the Paleolithic, sometime between 40,000 and 15,000 years ago, with identification of the earliest dogs debated. We predict that these earliest dogs (referred to herein as protodogs), while potentially difficult to distinguish morphologically from wolves, experienced behavioral shifts, including changes in diet. Specifically, protodogs may have consumed more bone and other less desirable scraps within human settlement areas. Here we apply Dental Microwear Texture Analysis (DMTA) to canids from the Gravettian site of Předmostí (approx. 28,500 BP), which were previously assigned to the Paleolithic dog or Pleistocene wolf morphotypes. We test whether these groups separate out significantly by diet-related variation in microwear patterning. Results are consistent with differences in dietary breadth, with the Paleolithic dog morphotype showing evidence of greater durophagy than those assigned to the wolf morphotype. This supports the presence of two morphologically and behaviorally distinct canid types at this middle Upper Paleolithic site. Our primary goal here was to test whether these two morphotypes expressed notable differences in dietary behavior. However, in the context of a major Gravettian settlement, this may also support evidence of early stage dog domestication. Dental microwear is a behavioral signal that may appear generations before morphological changes are established in a population. It shows promise for distinguishing protodogs from wolves in the Pleistocene and domesticated dogs from wolves elsewhere in the archaeological record.</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lastRenderedPageBreak/>
        <w:t xml:space="preserve">Prater, I., Zubrzycki, S., Buegger, F., Zoor-Füllgraff, L.C., Angst, G., Dannenmann, M., Mueller, C.W., </w:t>
      </w:r>
      <w:r w:rsidR="00616347">
        <w:t xml:space="preserve">2020. </w:t>
      </w:r>
      <w:r w:rsidRPr="003532DF">
        <w:t>From fibrous plant residues to mineral-associated organic carbon – the fate of organic matter in Arctic permafrost soils. Biogeosciences Discussions 2020, 1-27.</w:t>
      </w:r>
    </w:p>
    <w:p w:rsidR="00DB42FE" w:rsidRPr="003532DF" w:rsidRDefault="00DB42FE" w:rsidP="00616347">
      <w:pPr>
        <w:pStyle w:val="EndNoteBibliography"/>
        <w:ind w:left="360"/>
      </w:pPr>
      <w:r w:rsidRPr="003532DF">
        <w:t>https://www.biogeosciences-discuss.net/bg-2020-52/</w:t>
      </w:r>
    </w:p>
    <w:p w:rsidR="00DB42FE" w:rsidRPr="003532DF" w:rsidRDefault="00DB42FE" w:rsidP="00616347">
      <w:pPr>
        <w:pStyle w:val="EndNoteBibliography"/>
        <w:spacing w:after="0"/>
        <w:ind w:left="360"/>
      </w:pPr>
      <w:r w:rsidRPr="003532DF">
        <w:t>Permafrost-affected soils of the Arctic account for 70 % or 727 Pg of the soil organic carbon (C) stored in the permafrost region and therefore play a major role in the global C cycle. Most studies on the budgeting of C storage and the quality of soil organic matter (SOM) in the northern circumpolar region focus on bulk soils. Thus, although there is a plethora of assumptions regarding differences in terms of C turnover or stability, only little knowledge is available on the mechanisms stabilizing organic C in Arctic soils besides impaired decomposition due to low temperatures. To gain such knowledge, we investigated soils from Samoylov Island in the Lena River Delta with respect to the composition and distribution of organic C among differently stabilized SOM fractions. The soils were fractionated according to density and particle size to obtain differently stabilized SOM fractions differing in chemical composition and thus bioavailability. To better understand the chemical alterations from plant-derived organic particles in these soils rich in fibrous plant residues to mineral-associated SOM, we analysed the elemental, isotopic and chemical composition of particulate OM (POM) and clay-sized mineral-associated OM (MAOM). We demonstrate that the SOM fractions that contribute with about 17 kg C m</w:t>
      </w:r>
      <w:r w:rsidRPr="003532DF">
        <w:rPr>
          <w:vertAlign w:val="superscript"/>
        </w:rPr>
        <w:t>−3</w:t>
      </w:r>
      <w:r w:rsidRPr="003532DF">
        <w:t xml:space="preserve"> for more than 60 % of the C stock are highly bioaccessible and that most of this labile C can be assumed to be prone to mineralization under warming conditions. Thus, the amount of relatively stable, small occluded POM and clay-sized MAOM that account currently with about 10 kg C m</w:t>
      </w:r>
      <w:r w:rsidRPr="003532DF">
        <w:rPr>
          <w:vertAlign w:val="superscript"/>
        </w:rPr>
        <w:t>−3</w:t>
      </w:r>
      <w:r w:rsidRPr="003532DF">
        <w:t xml:space="preserve"> for about 40 % of the C stock will most probably be crucial for the quantity of C protected from mineralization in these Arctic soils in a warmer future. Using δ</w:t>
      </w:r>
      <w:r w:rsidRPr="003532DF">
        <w:rPr>
          <w:vertAlign w:val="superscript"/>
        </w:rPr>
        <w:t>15</w:t>
      </w:r>
      <w:r w:rsidRPr="003532DF">
        <w:t>N as proxy for nitrogen (N) balances indicated an important role of N inputs by biological N fixation, while gaseous N losses appeared less important. However, this could change, as with about 0.4 kg N m</w:t>
      </w:r>
      <w:r w:rsidRPr="003532DF">
        <w:rPr>
          <w:vertAlign w:val="superscript"/>
        </w:rPr>
        <w:t>−3</w:t>
      </w:r>
      <w:r w:rsidRPr="003532DF">
        <w:t xml:space="preserve"> one third of the N is present in bioaccessible SOM fractions, which could lead to increases in mineral N cycling and associated N losses under global warming. Our results highlight the vulnerability of SOM in Arctic permafrost-affected soils under rising temperatures, potentially leading to unparalleled greenhouse gas emissions from these soils.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Prosser, J.I., </w:t>
      </w:r>
      <w:r w:rsidR="00616347">
        <w:t xml:space="preserve">2020. </w:t>
      </w:r>
      <w:r w:rsidRPr="003532DF">
        <w:t>Putting science back into microbial ecology: a question of approach. Philosophical Transactions of the Royal Society B: Biological Sciences 375, 20190240.</w:t>
      </w:r>
    </w:p>
    <w:p w:rsidR="00DB42FE" w:rsidRPr="003532DF" w:rsidRDefault="00DB42FE" w:rsidP="00616347">
      <w:pPr>
        <w:pStyle w:val="EndNoteBibliography"/>
        <w:ind w:left="360"/>
      </w:pPr>
      <w:r w:rsidRPr="003532DF">
        <w:t>https://doi.org/10.1098/rstb.2019.0240</w:t>
      </w:r>
    </w:p>
    <w:p w:rsidR="00DB42FE" w:rsidRPr="003532DF" w:rsidRDefault="00DB42FE" w:rsidP="00616347">
      <w:pPr>
        <w:pStyle w:val="EndNoteBibliography"/>
        <w:spacing w:after="0"/>
        <w:ind w:left="360"/>
      </w:pPr>
      <w:r w:rsidRPr="003532DF">
        <w:t xml:space="preserve">Microbial ecology, the scientific study of interactions between natural microbial communities and their environments, has been facilitated by the application of molecular and ‘omics’-based techniques that overcome some of the limitations of cultivation-based studies. This has increased emphasis on community ecology and ‘microbiome’ studies, but the majority address technical, rather than scientific challenges. Most are descriptive, do not address scientific aims or questions and are not designed to increase understanding or test hypotheses. The term ‘hypothesis’ is increasingly misused and critical testing of ideas or theory is restricted to a small minority of studies. This article discusses current microbial ecology research within the context of four approaches: description, induction, inference to the best explanation and deduction. The first three of these do not follow the established scientific method and are not based on scientific ecological questions. Observations are made and sometimes compared with published data, sometimes with attempts to explain findings in the context of existing ideas or hypotheses, but all lack objectivity and are biased </w:t>
      </w:r>
      <w:r w:rsidRPr="003532DF">
        <w:lastRenderedPageBreak/>
        <w:t>by the observations made. By contrast, deductive studies address ecological questions and attempt to explain currently unexplained phenomena through the construction of hypotheses, from mechanism-based assumptions, that generate predictions that are then tested experimentally. Identification of key scientific questions, research driven by meaningful hypotheses and adoption of scientific method are essential for progress in microbial ecology, rather than the current emphasis on descriptive approaches that address only technical challenges. It is, therefore, imperative that we carefully consider and define the fundamental scientific questions that drive our own research and focus on ideas, concepts and hypotheses that can increase understanding, and only then consider which techniques are required for experimental testing.</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Prosser, J.I., Martiny, J.B.H., </w:t>
      </w:r>
      <w:r w:rsidR="00616347">
        <w:t xml:space="preserve">2020. </w:t>
      </w:r>
      <w:r w:rsidRPr="003532DF">
        <w:t>Conceptual challenges in microbial community ecology. Philosophical Transactions of the Royal Society B: Biological Sciences 375, 20190241.</w:t>
      </w:r>
    </w:p>
    <w:p w:rsidR="00DB42FE" w:rsidRPr="003532DF" w:rsidRDefault="00DB42FE" w:rsidP="00616347">
      <w:pPr>
        <w:pStyle w:val="EndNoteBibliography"/>
        <w:ind w:left="360"/>
      </w:pPr>
      <w:r w:rsidRPr="003532DF">
        <w:t>https://doi.org/10.1098/rstb.2019.0241</w:t>
      </w:r>
    </w:p>
    <w:p w:rsidR="00DB42FE" w:rsidRPr="003532DF" w:rsidRDefault="00DB42FE" w:rsidP="00616347">
      <w:pPr>
        <w:pStyle w:val="EndNoteBibliography"/>
        <w:ind w:left="360"/>
      </w:pPr>
      <w:r w:rsidRPr="003532DF">
        <w:t>Microorganisms play fundamental roles in all environments. Through their vast genetic, metabolic and physiological diversity, they drive global nutrient cycles, degrade waste material and pollutants and produce and consume greenhouse gases. These different aspects of diversity provide interesting and exciting scientific challenges and ensure that an understanding of the ecology of microbial communities, or microbiomes, is essential for predicting an ecosystem's ‘health’ and its resilience, whether in the human gut, agricultural soil or the open ocean.</w:t>
      </w:r>
    </w:p>
    <w:p w:rsidR="00DB42FE" w:rsidRPr="003532DF" w:rsidRDefault="00DB42FE" w:rsidP="00616347">
      <w:pPr>
        <w:pStyle w:val="EndNoteBibliography"/>
        <w:ind w:left="360"/>
      </w:pPr>
      <w:r w:rsidRPr="003532DF">
        <w:t>In the past, our understanding of microbial communities was severely limited by our ability to grow microorganisms in the laboratory. The development and application of cultivation-independent techniques based on molecular analysis of genes and, more recently, (meta)genomes and proteins, have revealed a previously unimaginable amount of microbial diversity, including newly discovered phyla whose existence was not suspected. These techniques have been supplemented with a range of methods designed to determine functional characteristics, again without the need for cultivation.</w:t>
      </w:r>
    </w:p>
    <w:p w:rsidR="00DB42FE" w:rsidRPr="003532DF" w:rsidRDefault="00DB42FE" w:rsidP="00616347">
      <w:pPr>
        <w:pStyle w:val="EndNoteBibliography"/>
        <w:ind w:left="360"/>
      </w:pPr>
      <w:r w:rsidRPr="003532DF">
        <w:t>As the technical challenges for microbial community ecology are increasingly met, however, a new challenge has been exposed. It is now straightforward and relatively inexpensive to quickly catalogue the microbial diversity of a sample, but conceptual frameworks for studying microbial communities lag far behind the production of these data. This thematic issue thus aims to highlight developing concepts of potential importance to microbial community ecology. We see at least three reasons for this need. First, the application of conceptual frameworks and associated analytical and theoretical approaches will increase the rate of scientific progress in this field. Future studies can be better designed to identify or test general principles and move beyond location-, technique- and laboratory-specific findings. Second, general ecological theory is not ‘general’ unless it applies to communities of microbes, which are the most abundant, diverse and globally impactful. Finally, microbial communities are much easier to control, manipulate and monitor than those of plants and animals; they therefore provide the potential for more critical testing and development of ecological theory.</w:t>
      </w:r>
    </w:p>
    <w:p w:rsidR="00DB42FE" w:rsidRPr="003532DF" w:rsidRDefault="00DB42FE" w:rsidP="00616347">
      <w:pPr>
        <w:pStyle w:val="EndNoteBibliography"/>
        <w:ind w:left="360"/>
      </w:pPr>
      <w:r w:rsidRPr="003532DF">
        <w:t xml:space="preserve">As is commonly the case with the introduction of new techniques, microbial community ecology has recently been heavily dominated by descriptive studies, providing surveys and inventories of gene sequences or descriptions of the effects of environmental factors or environmental change on microbial communities. This has led to a diminution in conceptual and theoretical approaches to </w:t>
      </w:r>
      <w:r w:rsidRPr="003532DF">
        <w:lastRenderedPageBreak/>
        <w:t>microbial ecology and it is fitting, therefore, that Prosser opens this theme issue [</w:t>
      </w:r>
      <w:r w:rsidRPr="003532DF">
        <w:rPr>
          <w:u w:val="single"/>
        </w:rPr>
        <w:t>1</w:t>
      </w:r>
      <w:r w:rsidRPr="003532DF">
        <w:t>] with a plea for a renewed focus on question- and hypothesis-driven approaches in microbial ecology.</w:t>
      </w:r>
    </w:p>
    <w:p w:rsidR="00DB42FE" w:rsidRPr="003532DF" w:rsidRDefault="00DB42FE" w:rsidP="00616347">
      <w:pPr>
        <w:pStyle w:val="EndNoteBibliography"/>
        <w:ind w:left="360"/>
      </w:pPr>
      <w:r w:rsidRPr="003532DF">
        <w:t xml:space="preserve">In the remainder of the issue, four major themes then emerge, suggesting priority areas that may be ripe for advancement in the field. The first of these themes is touched on by nearly every paper—that microbial community ecology cannot ignore evolution and, further, must simultaneously consider ecological and evolutionary processes. Such ‘eco-evolutionary’ processes drive microbial community composition and diversity in nature and, conversely, microbial communities provide amenable systems to study such processes in any community. The contributing authors consider this challenge across both micro- and macro-evolutionary scales. For instance, VanInsberghe </w:t>
      </w:r>
      <w:r w:rsidRPr="003532DF">
        <w:rPr>
          <w:i/>
        </w:rPr>
        <w:t>et al</w:t>
      </w:r>
      <w:r w:rsidRPr="003532DF">
        <w:t>. [</w:t>
      </w:r>
      <w:r w:rsidRPr="003532DF">
        <w:rPr>
          <w:u w:val="single"/>
        </w:rPr>
        <w:t>2</w:t>
      </w:r>
      <w:r w:rsidRPr="003532DF">
        <w:t>] consider the relationship between population genomics and microbial communities. They discuss how estimates of contemporary gene flow can be used to define populations on the basis of biological mechanisms that are ecologically meaningful. Rainey &amp; Quistad [</w:t>
      </w:r>
      <w:r w:rsidRPr="003532DF">
        <w:rPr>
          <w:u w:val="single"/>
        </w:rPr>
        <w:t>3</w:t>
      </w:r>
      <w:r w:rsidRPr="003532DF">
        <w:t>] argue for studying eco-evolutionary processes in the context of microbial community diversity, given the prevalence of horizontal gene transfer and its implications for community functioning. Kohl [</w:t>
      </w:r>
      <w:r w:rsidRPr="003532DF">
        <w:rPr>
          <w:u w:val="single"/>
        </w:rPr>
        <w:t>4</w:t>
      </w:r>
      <w:r w:rsidRPr="003532DF">
        <w:t>] then reviews evidence of how both ecological and evolutionary forces, including macroevolutionary relationships among hosts and microevolution of symbionts, combine to shape the assembly of microbial communities within a host.</w:t>
      </w:r>
    </w:p>
    <w:p w:rsidR="00DB42FE" w:rsidRPr="003532DF" w:rsidRDefault="00DB42FE" w:rsidP="00616347">
      <w:pPr>
        <w:pStyle w:val="EndNoteBibliography"/>
        <w:ind w:left="360"/>
      </w:pPr>
      <w:r w:rsidRPr="003532DF">
        <w:t xml:space="preserve">A second theme is a need for more attention to the interactions between microbes. Many of these papers focus on the evolution of those interactions, and microbial systems are uniquely amenable to contributing to this area of research. This is exemplified by Bernhardt </w:t>
      </w:r>
      <w:r w:rsidRPr="003532DF">
        <w:rPr>
          <w:i/>
        </w:rPr>
        <w:t>et al</w:t>
      </w:r>
      <w:r w:rsidRPr="003532DF">
        <w:t>.'s [</w:t>
      </w:r>
      <w:r w:rsidRPr="003532DF">
        <w:rPr>
          <w:u w:val="single"/>
        </w:rPr>
        <w:t>5</w:t>
      </w:r>
      <w:r w:rsidRPr="003532DF">
        <w:t xml:space="preserve">] study of experimental evolution of model phytoplankton, showing the potential for rapid evolution (less than 300 generations) in resource limitation and salt tolerance. The authors then use resource competition theory to demonstrate that such changes could alter the predicted outcomes of competition. Gorter </w:t>
      </w:r>
      <w:r w:rsidRPr="003532DF">
        <w:rPr>
          <w:i/>
        </w:rPr>
        <w:t>et al</w:t>
      </w:r>
      <w:r w:rsidRPr="003532DF">
        <w:t>. [</w:t>
      </w:r>
      <w:r w:rsidRPr="003532DF">
        <w:rPr>
          <w:u w:val="single"/>
        </w:rPr>
        <w:t>6</w:t>
      </w:r>
      <w:r w:rsidRPr="003532DF">
        <w:t xml:space="preserve">] discuss evidence that evolutionary processes are important in driving microbial community composition at ecological timescales and propose a conceptual model for the evolution of interspecies interactions in multispecies communities. Castledine </w:t>
      </w:r>
      <w:r w:rsidRPr="003532DF">
        <w:rPr>
          <w:i/>
        </w:rPr>
        <w:t>et al</w:t>
      </w:r>
      <w:r w:rsidRPr="003532DF">
        <w:t>. [</w:t>
      </w:r>
      <w:r w:rsidRPr="003532DF">
        <w:rPr>
          <w:u w:val="single"/>
        </w:rPr>
        <w:t>7</w:t>
      </w:r>
      <w:r w:rsidRPr="003532DF">
        <w:t>] offer an alternative perspective on microbial interactions by discussing community coalescence, or the mixing of whole communities. Even from this angle, however, they highlight the need to consider the interplay of ecological and evolutionary processes.</w:t>
      </w:r>
    </w:p>
    <w:p w:rsidR="00DB42FE" w:rsidRPr="003532DF" w:rsidRDefault="00DB42FE" w:rsidP="00616347">
      <w:pPr>
        <w:pStyle w:val="EndNoteBibliography"/>
        <w:ind w:left="360"/>
      </w:pPr>
      <w:r w:rsidRPr="003532DF">
        <w:t>Other contributions on microbial interactions focused on metabolic cross-feeding between microbes. Considering the pervasiveness of such interactions in microbial communities versus those of larger organisms, it is fitting that this area is attracting the development of new conceptual theory. Douglas [</w:t>
      </w:r>
      <w:r w:rsidRPr="003532DF">
        <w:rPr>
          <w:u w:val="single"/>
        </w:rPr>
        <w:t>8</w:t>
      </w:r>
      <w:r w:rsidRPr="003532DF">
        <w:t xml:space="preserve">] reviews the role of extracellular metabolites (the exometabolome) in generating diversity in natural communities. She highlights the various types of cross-feeding interactions and considers how such interactions might be shaped by interactions with host organisms, including a human host. Pascual-García </w:t>
      </w:r>
      <w:r w:rsidRPr="003532DF">
        <w:rPr>
          <w:i/>
        </w:rPr>
        <w:t>et al</w:t>
      </w:r>
      <w:r w:rsidRPr="003532DF">
        <w:t>. [</w:t>
      </w:r>
      <w:r w:rsidRPr="003532DF">
        <w:rPr>
          <w:u w:val="single"/>
        </w:rPr>
        <w:t>9</w:t>
      </w:r>
      <w:r w:rsidRPr="003532DF">
        <w:t>] introduce the concept of metabolically cohesive consortia. They propose that close metabolic interactions allow the formation of stable groups of microbes and discuss how eco-evolutionary processes influence community-level metabolism.</w:t>
      </w:r>
    </w:p>
    <w:p w:rsidR="00DB42FE" w:rsidRPr="003532DF" w:rsidRDefault="00DB42FE" w:rsidP="00616347">
      <w:pPr>
        <w:pStyle w:val="EndNoteBibliography"/>
        <w:ind w:left="360"/>
      </w:pPr>
      <w:r w:rsidRPr="003532DF">
        <w:t xml:space="preserve">A third theme is the importance of space for microbial communities. While studying the role of space in community ecology is not new, investigations on the microscale are especially challenging and our ignorance has hindered conceptual advances. Ciccarese </w:t>
      </w:r>
      <w:r w:rsidRPr="003532DF">
        <w:rPr>
          <w:i/>
        </w:rPr>
        <w:t>et al</w:t>
      </w:r>
      <w:r w:rsidRPr="003532DF">
        <w:t>. [</w:t>
      </w:r>
      <w:r w:rsidRPr="003532DF">
        <w:rPr>
          <w:u w:val="single"/>
        </w:rPr>
        <w:t>10</w:t>
      </w:r>
      <w:r w:rsidRPr="003532DF">
        <w:t xml:space="preserve">] use a synthetic bacterial community to investigate the role of the physical surface on spatial patterns and visualize its impacts on local diversity. Intersecting with the second theme, they also consider how metabolic interactions influence these results. Nunan </w:t>
      </w:r>
      <w:r w:rsidRPr="003532DF">
        <w:rPr>
          <w:i/>
        </w:rPr>
        <w:t>et al</w:t>
      </w:r>
      <w:r w:rsidRPr="003532DF">
        <w:t>. [</w:t>
      </w:r>
      <w:r w:rsidRPr="003532DF">
        <w:rPr>
          <w:u w:val="single"/>
        </w:rPr>
        <w:t>11</w:t>
      </w:r>
      <w:r w:rsidRPr="003532DF">
        <w:t xml:space="preserve">] review how soil heterogeneity, particularly at the microscale, influences microbial resource use. They then present a spatially explicit model to </w:t>
      </w:r>
      <w:r w:rsidRPr="003532DF">
        <w:lastRenderedPageBreak/>
        <w:t xml:space="preserve">showcase the potential for soil heterogeneity to influence organic matter decomposition by a bacterial community. Locey </w:t>
      </w:r>
      <w:r w:rsidRPr="003532DF">
        <w:rPr>
          <w:i/>
        </w:rPr>
        <w:t>et al</w:t>
      </w:r>
      <w:r w:rsidRPr="003532DF">
        <w:t>. [</w:t>
      </w:r>
      <w:r w:rsidRPr="003532DF">
        <w:rPr>
          <w:u w:val="single"/>
        </w:rPr>
        <w:t>12</w:t>
      </w:r>
      <w:r w:rsidRPr="003532DF">
        <w:t>] round out the discussion by reporting macroscale (over tens of kilometres) biogeographic patterns of active and inactive bacterial cells. They then develop a mechanistic model to investigate the role of dormancy and dispersal in shaping these patterns.</w:t>
      </w:r>
    </w:p>
    <w:p w:rsidR="00DB42FE" w:rsidRPr="003532DF" w:rsidRDefault="00DB42FE" w:rsidP="00616347">
      <w:pPr>
        <w:pStyle w:val="EndNoteBibliography"/>
        <w:ind w:left="360"/>
      </w:pPr>
      <w:r w:rsidRPr="003532DF">
        <w:t>The final emergent theme considers the response of microbial community composition to environmental changes and how such compositional variation is related to functioning. This theme touches on one of the most important challenges of our time, predicting how anthropogenic global changes will alter microbial communities and, in turn, feedback to affect our climate. The contributions in this section showcase an array of approaches to tackle this topic. Focusing first on the response of microbial communities, Sorensen &amp; Shade [</w:t>
      </w:r>
      <w:r w:rsidRPr="003532DF">
        <w:rPr>
          <w:u w:val="single"/>
        </w:rPr>
        <w:t>13</w:t>
      </w:r>
      <w:r w:rsidRPr="003532DF">
        <w:t>] take an experimental approach to demonstrate greater resilience to increased temperature for communities open to dispersal and the importance of resuscitation of dormant, thermotolerant members of the community. Van der Waal &amp; Litchman [</w:t>
      </w:r>
      <w:r w:rsidRPr="003532DF">
        <w:rPr>
          <w:u w:val="single"/>
        </w:rPr>
        <w:t>14</w:t>
      </w:r>
      <w:r w:rsidRPr="003532DF">
        <w:t xml:space="preserve">] take a trait-centric approach to understand the combined effects of multiple stressors on phytoplankton nutrient acquisition through phenotypic plasticity, evolutionary change and shifts in community composition. Their conceptual framework predicts that climate change will allow a reallocation of energy that favours larger-celled phytoplankton, necessitating consideration of size-dependent responses to climate-related stressors. Isobe </w:t>
      </w:r>
      <w:r w:rsidRPr="003532DF">
        <w:rPr>
          <w:i/>
        </w:rPr>
        <w:t>et al</w:t>
      </w:r>
      <w:r w:rsidRPr="003532DF">
        <w:t>. [</w:t>
      </w:r>
      <w:r w:rsidRPr="003532DF">
        <w:rPr>
          <w:u w:val="single"/>
        </w:rPr>
        <w:t>15</w:t>
      </w:r>
      <w:r w:rsidRPr="003532DF">
        <w:t>] synthesize microbial community data from global change field experiments and find that the responses of soil bacterial communities are phylogenetically conserved and consistent across locations. The results indicate that a macro-evolutionary approach is useful for predicting bacterial responses to various environmental changes.</w:t>
      </w:r>
    </w:p>
    <w:p w:rsidR="00DB42FE" w:rsidRPr="003532DF" w:rsidRDefault="00DB42FE" w:rsidP="00616347">
      <w:pPr>
        <w:pStyle w:val="EndNoteBibliography"/>
        <w:ind w:left="360"/>
      </w:pPr>
      <w:r w:rsidRPr="003532DF">
        <w:t xml:space="preserve">Ultimately, the relevance of microbial community ecology lies in its ability to increase understanding and prediction of ecosystem functioning. While the relationship between biodiversity and ecosystem functioning has received considerable attention in animal and plant communities, these links are arguably more direct in microbial communities but more difficult to investigate. Morris </w:t>
      </w:r>
      <w:r w:rsidRPr="003532DF">
        <w:rPr>
          <w:i/>
        </w:rPr>
        <w:t>et al</w:t>
      </w:r>
      <w:r w:rsidRPr="003532DF">
        <w:t>. [</w:t>
      </w:r>
      <w:r w:rsidRPr="003532DF">
        <w:rPr>
          <w:u w:val="single"/>
        </w:rPr>
        <w:t>16</w:t>
      </w:r>
      <w:r w:rsidRPr="003532DF">
        <w:t xml:space="preserve">] present a new approach, integrating biodiversity–ecosystem function research and genotype–phenotype mapping. They illustrate this idea using data on methane oxidation in tropical soils. Garcia </w:t>
      </w:r>
      <w:r w:rsidRPr="003532DF">
        <w:rPr>
          <w:i/>
        </w:rPr>
        <w:t>et al</w:t>
      </w:r>
      <w:r w:rsidRPr="003532DF">
        <w:t>. [</w:t>
      </w:r>
      <w:r w:rsidRPr="003532DF">
        <w:rPr>
          <w:u w:val="single"/>
        </w:rPr>
        <w:t>17</w:t>
      </w:r>
      <w:r w:rsidRPr="003532DF">
        <w:t xml:space="preserve">] introduce the idea of using (meta)genomic changes as indicators or biosensors of the biogeochemical environment. Combined with a trait-based model, the genomic data improved predictions of changes in elemental composition of marine planktonic communities. Finally, Quistad </w:t>
      </w:r>
      <w:r w:rsidRPr="003532DF">
        <w:rPr>
          <w:i/>
        </w:rPr>
        <w:t>et al</w:t>
      </w:r>
      <w:r w:rsidRPr="003532DF">
        <w:t>. [</w:t>
      </w:r>
      <w:r w:rsidRPr="003532DF">
        <w:rPr>
          <w:u w:val="single"/>
        </w:rPr>
        <w:t>18</w:t>
      </w:r>
      <w:r w:rsidRPr="003532DF">
        <w:t>] describe an experimental study that links horizontal gene transfer, facilitated by increasing dispersal of selfish genetic elements, to changes in functional gene abundance and nitrogen cycling processes in soil microcosms. These studies offer innovative directions to translate the extensive genetic diversity of microbial communities into its consequences for ecosystem functioning, whether in the environment or associated with a host organism.</w:t>
      </w:r>
    </w:p>
    <w:p w:rsidR="00DB42FE" w:rsidRPr="003532DF" w:rsidRDefault="00DB42FE" w:rsidP="00616347">
      <w:pPr>
        <w:pStyle w:val="EndNoteBibliography"/>
        <w:spacing w:after="0"/>
        <w:ind w:left="360"/>
      </w:pPr>
      <w:r w:rsidRPr="003532DF">
        <w:t>Together, these articles identify fundamental challenges for the field and demonstrate the importance and advantages of moving beyond descriptive surveys and inventories of microbial diversity. Sophisticated technologies enable discoveries and open new avenues for research, but applied by themselves are unlikely to increase our understanding. Instead, the complexity of microbial communities and their environments requires a careful wielding of methods to critically test concepts, hypotheses and theory to advance microbial community ecology.</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lastRenderedPageBreak/>
        <w:t xml:space="preserve">Qian, X., Chen, L., Sui, Y., Chen, C., Zhang, W., Zhou, J., Dong, W., Jiang, M., Xin, F., Ochsenreither, K., </w:t>
      </w:r>
      <w:r w:rsidR="00616347">
        <w:t xml:space="preserve">2020. </w:t>
      </w:r>
      <w:r w:rsidRPr="003532DF">
        <w:t>Biotechnological potential and applications of microbial consortia. Biotechnology Advances 40, 107500.</w:t>
      </w:r>
    </w:p>
    <w:p w:rsidR="00DB42FE" w:rsidRPr="003532DF" w:rsidRDefault="00DB42FE" w:rsidP="00616347">
      <w:pPr>
        <w:pStyle w:val="EndNoteBibliography"/>
        <w:ind w:left="360"/>
      </w:pPr>
      <w:r w:rsidRPr="003532DF">
        <w:t>http://www.sciencedirect.com/science/article/pii/S0734975019302009</w:t>
      </w:r>
    </w:p>
    <w:p w:rsidR="00DB42FE" w:rsidRPr="003532DF" w:rsidRDefault="00DB42FE" w:rsidP="00616347">
      <w:pPr>
        <w:pStyle w:val="EndNoteBibliography"/>
        <w:spacing w:after="0"/>
        <w:ind w:left="360"/>
      </w:pPr>
      <w:r w:rsidRPr="003532DF">
        <w:t>Recent advances in microbial consortia present a valuable approach for expanding the scope of metabolic engineering. Systems biology enable thorough understanding of diverse physiological processes of cells and their interactions, which in turn offers insights into the optimal design of synthetic microbial consortia. Yet, the study of synthetic microbial consortia is still in early infancy, facing many unknowns and challenges in intercellular communication and construction of stable and controllable microbial consortia systems. In this review, we comprehensively discussed the recent application of defined microbial consortia in the fields of human health monitoring and medicine exploitation, valuable compounds synthesis, consolidated bioprocessing of lignocellulosic materials and environmental bioremediation. Moreover, the outstanding challenges and future directions to advance the development of high-efficient, stable and controllable synthetic microbial consortia were highlighted.</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Qiao, J., Qin, Y., Ning, S., Du, F., </w:t>
      </w:r>
      <w:r w:rsidR="00616347">
        <w:t xml:space="preserve">2020. </w:t>
      </w:r>
      <w:r w:rsidRPr="003532DF">
        <w:t>Early Carboniferous black mudstones in the Nujiang Suture Zone in northeast Tibet: implication on paleoenvironment. Arabian Journal of Geosciences 13, 279.</w:t>
      </w:r>
    </w:p>
    <w:p w:rsidR="00DB42FE" w:rsidRPr="003532DF" w:rsidRDefault="00DB42FE" w:rsidP="00616347">
      <w:pPr>
        <w:pStyle w:val="EndNoteBibliography"/>
        <w:ind w:left="360"/>
      </w:pPr>
      <w:r w:rsidRPr="003532DF">
        <w:t>https://doi.org/10.1007/s12517-020-5252-9</w:t>
      </w:r>
    </w:p>
    <w:p w:rsidR="00DB42FE" w:rsidRPr="003532DF" w:rsidRDefault="00DB42FE" w:rsidP="00616347">
      <w:pPr>
        <w:pStyle w:val="EndNoteBibliography"/>
        <w:spacing w:after="0"/>
        <w:ind w:left="360"/>
      </w:pPr>
      <w:r w:rsidRPr="003532DF">
        <w:t>Early Carboniferous sedimentary rocks were distributed in various landmasses or microlandmasses and suture zones in the northeastern Tibet. The section of black mudstones of the lower Carboniferous Bangda Formation was found at Kaqiong microlandmasses of Nujiang Suture Zone north of Lhorong County. The section is composed of black silty mudstone and mudstone subjected to slight metamorphism. In order to determine the paleoenvironment, provenance, and tectonic background of black mudstones, geological survey and geochemical data of this section were discussed. The results show that the TOC content of black mudstones ranges from 1.86 to 13.14%, and the organic matter is mainly sapropelic. The black mudstones with lower Sr/Ba and Sr/Cu values indicate a warm and humid climatic environment during the sedimentary period. The higher U (authigenic), U/Th, and Ni/Co values of mudstones indicate the reduced environment in the sedimentary period, but there is a rapid oxidation environment in the middle of the sedimentary period. This abrupt change results in the “two-stage” distribution of TOC and related geochemical properties. Total REE concentrations of mudstones range from 155.9 to 346.2 μg/g. All samples have chondrite-normalized REE patterns with enrichment of LREE, depletion of HREE, and negative Eu anomaly. The binary diagrams of Ni-TiO2 and La/Th-Hf and the Al2O3/TiO2 ratios indicate that the black mudstone mainly derived from felsic provenance. The discrimination diagrams revealed that the source rocks were mostly deposited in a collision setting.</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Qiu, J., Lü, F., Zhang, H., Huang, Y., Shao, L., He, P., </w:t>
      </w:r>
      <w:r w:rsidR="00616347">
        <w:t xml:space="preserve">2020. </w:t>
      </w:r>
      <w:r w:rsidRPr="003532DF">
        <w:t>Persistence of native and bio-derived molecules of dissolved organic matters during simultaneous denitrification and methanogenesis for fresh waste leachate. Water Research 175, 115705.</w:t>
      </w:r>
    </w:p>
    <w:p w:rsidR="00DB42FE" w:rsidRPr="003532DF" w:rsidRDefault="00DB42FE" w:rsidP="00616347">
      <w:pPr>
        <w:pStyle w:val="EndNoteBibliography"/>
        <w:ind w:left="360"/>
      </w:pPr>
      <w:r w:rsidRPr="003532DF">
        <w:t>http://www.sciencedirect.com/science/article/pii/S0043135420302414</w:t>
      </w:r>
    </w:p>
    <w:p w:rsidR="00DB42FE" w:rsidRPr="003532DF" w:rsidRDefault="00DB42FE" w:rsidP="00616347">
      <w:pPr>
        <w:pStyle w:val="EndNoteBibliography"/>
        <w:spacing w:after="0"/>
        <w:ind w:left="360"/>
      </w:pPr>
      <w:r w:rsidRPr="003532DF">
        <w:lastRenderedPageBreak/>
        <w:t>Biological treatment of wastewater always leaves plenty of refractory dissolved organic matters (DOM) in effluents, specifically for fresh waste leachate. Aiming at comprehending the production and removal of these compounds, this study investigated DOM transformation in a simultaneous denitrification and methanogenesis with activated sludge (SDM-AS) system with NO</w:t>
      </w:r>
      <w:r w:rsidRPr="003532DF">
        <w:rPr>
          <w:vertAlign w:val="subscript"/>
        </w:rPr>
        <w:t>3</w:t>
      </w:r>
      <w:r w:rsidRPr="003532DF">
        <w:rPr>
          <w:vertAlign w:val="superscript"/>
        </w:rPr>
        <w:t>−</w:t>
      </w:r>
      <w:r w:rsidRPr="003532DF">
        <w:t>/NO</w:t>
      </w:r>
      <w:r w:rsidRPr="003532DF">
        <w:rPr>
          <w:vertAlign w:val="subscript"/>
        </w:rPr>
        <w:t>2</w:t>
      </w:r>
      <w:r w:rsidRPr="003532DF">
        <w:rPr>
          <w:vertAlign w:val="superscript"/>
        </w:rPr>
        <w:t>−</w:t>
      </w:r>
      <w:r w:rsidRPr="003532DF">
        <w:t xml:space="preserve"> backflow for raw fresh leachate. Chemical oxygen demand (COD) was reduced to 854 ± 120 mg/L from 63000 ± 470 mg/L, and total nitrogen (TN) decreased from 2500 ± 647 mg/L to 404 ± 75 mg/L, during an operation of 440 days. The SDM reactor was fed at organic loading rate of 6.70 kgCOD/(m</w:t>
      </w:r>
      <w:r w:rsidRPr="003532DF">
        <w:rPr>
          <w:vertAlign w:val="superscript"/>
        </w:rPr>
        <w:t>3</w:t>
      </w:r>
      <w:r w:rsidRPr="003532DF">
        <w:t>·d) to generate 2.52 L CH</w:t>
      </w:r>
      <w:r w:rsidRPr="003532DF">
        <w:rPr>
          <w:vertAlign w:val="subscript"/>
        </w:rPr>
        <w:t>4</w:t>
      </w:r>
      <w:r w:rsidRPr="003532DF">
        <w:t>/(L·d). Molecular information of leachate DOM was acquired by using ultra-performance liquid chromatography coupled with Orbitrap mass spectrometry. A DOM classification based on Venn diagram was proposed to divide leachate DOM into seven categories. It revealed that 76–84% of final effluent DOM stemmed from biological derivation. Posteriori non-target screening showed anthropogenic micropollutants, e.g. phosphate flame retardants and industrial agents, probably contributed to the remnant native inert DOM in the effluent at the levels of 5–200 μg/L. DOM Classification also showed a portion of bio-derived DOM can be completely removed by SDM-AS processes, while the rest bio-derived DOM can be partially removed depending on DOM nature and the recirculation ratio. The removal and production rate of a specific bio-derived molecule in respective SDM and AS units theoretically satisfied a hyperbolical and dual relationship in terms of mass balance. The persistence of each DOM category was sorted. These results showed anaerobic degradation could be a promising approach to reduce aerobic bio-derived DOM.</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Qiu, Z., Zou, C., </w:t>
      </w:r>
      <w:r w:rsidR="00616347">
        <w:t xml:space="preserve">2020. </w:t>
      </w:r>
      <w:r w:rsidRPr="003532DF">
        <w:t>Unconventional petroleum sedimentology: Connotation and prospect Acta Sedimentologica Sinica 38, 1-29.</w:t>
      </w:r>
    </w:p>
    <w:p w:rsidR="00DB42FE" w:rsidRPr="003532DF" w:rsidRDefault="00DB42FE" w:rsidP="00616347">
      <w:pPr>
        <w:pStyle w:val="EndNoteBibliography"/>
        <w:ind w:left="360"/>
      </w:pPr>
      <w:r w:rsidRPr="003532DF">
        <w:t>http://www.cjxb.ac.cn/EN/abstract/abstract4086.shtml</w:t>
      </w:r>
    </w:p>
    <w:p w:rsidR="00DB42FE" w:rsidRPr="003532DF" w:rsidRDefault="00DB42FE" w:rsidP="00616347">
      <w:pPr>
        <w:pStyle w:val="EndNoteBibliography"/>
        <w:spacing w:after="0"/>
        <w:ind w:left="360"/>
      </w:pPr>
      <w:r w:rsidRPr="003532DF">
        <w:t xml:space="preserve">The theoretical framework of </w:t>
      </w:r>
      <w:r w:rsidRPr="003532DF">
        <w:rPr>
          <w:i/>
        </w:rPr>
        <w:t>Unconventional Petroleum Geology</w:t>
      </w:r>
      <w:r w:rsidRPr="003532DF">
        <w:t xml:space="preserve"> has been gradually established along with the rapid progresses in exploration and development of unconventional petroleum resources. It is now imperative for innovative new insights into the unconventional petroleum sedimentology. Herein,the concept and scientific connotations of "</w:t>
      </w:r>
      <w:r w:rsidRPr="003532DF">
        <w:rPr>
          <w:i/>
        </w:rPr>
        <w:t>Unconventional Petroleum Sedimentology</w:t>
      </w:r>
      <w:r w:rsidRPr="003532DF">
        <w:t xml:space="preserve">" are proposed and briefly introduced. The research progresses are summarized for the sedimentology of typical unconventional petroleum resources in China,such as Wufeng-Longmaxi Shale gas in Sichuan Basin and tight oil and shale oil of Yanchang Formation in Ordos Basin. Further research themes and challenges of </w:t>
      </w:r>
      <w:r w:rsidRPr="003532DF">
        <w:rPr>
          <w:i/>
        </w:rPr>
        <w:t>Unconventional Petroleum Sedimentology</w:t>
      </w:r>
      <w:r w:rsidRPr="003532DF">
        <w:t xml:space="preserve"> are discussed. Sedimentary enrichment of unconventional petroleum resources can be closely related with some critical environmental changes,which would be the result of coupling sedimentology from several geological events such as global or regional tectonic activities,sea(lake) level changes,volcanic eruptions,climate changes,anoxic bottom water,biotic mass extinctions and radiations,and gravity currents. For better understanding of </w:t>
      </w:r>
      <w:r w:rsidRPr="003532DF">
        <w:rPr>
          <w:i/>
        </w:rPr>
        <w:t>Unconventional Petroleum Sedimentology</w:t>
      </w:r>
      <w:r w:rsidRPr="003532DF">
        <w:t xml:space="preserve"> in future,the Earth Systems Science view and "unconventional" insights should be applied to its research by analyzing geological events in details, which can play an important role in the discovery of new unconventional petroleum resources.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Quadra, G.R., Sobek, S., Paranaíba, J.R., Isidorova, A., Roland, F., do Vale, R., Mendonça, R., </w:t>
      </w:r>
      <w:r w:rsidR="00616347">
        <w:t xml:space="preserve">2020. </w:t>
      </w:r>
      <w:r w:rsidRPr="003532DF">
        <w:t>High organic carbon burial but high potential for methane ebullition in the sediments of an Amazonian hydroelectric reservoir. Biogeosciences 17, 1495-1505.</w:t>
      </w:r>
    </w:p>
    <w:p w:rsidR="00DB42FE" w:rsidRPr="003532DF" w:rsidRDefault="00DB42FE" w:rsidP="00616347">
      <w:pPr>
        <w:pStyle w:val="EndNoteBibliography"/>
        <w:ind w:left="360"/>
      </w:pPr>
      <w:r w:rsidRPr="003532DF">
        <w:lastRenderedPageBreak/>
        <w:t>https://www.biogeosciences.net/17/1495/2020/</w:t>
      </w:r>
    </w:p>
    <w:p w:rsidR="00DB42FE" w:rsidRPr="003532DF" w:rsidRDefault="00DB42FE" w:rsidP="00616347">
      <w:pPr>
        <w:pStyle w:val="EndNoteBibliography"/>
        <w:spacing w:after="0"/>
        <w:ind w:left="360"/>
      </w:pPr>
      <w:r w:rsidRPr="003532DF">
        <w:t>Reservoir sediments sequester significant amounts of organic carbon (OC), but at the same time, high amounts of methane (CH</w:t>
      </w:r>
      <w:r w:rsidRPr="003532DF">
        <w:rPr>
          <w:vertAlign w:val="subscript"/>
        </w:rPr>
        <w:t>4</w:t>
      </w:r>
      <w:r w:rsidRPr="003532DF">
        <w:t>) can be produced and emitted during the degradation of sediment OC. While the greenhouse gas emission of reservoirs has received a lot of attention, there is a lack of studies focusing on OC burial. In particular, there are no studies on reservoir OC burial in the Amazon, even though hydropower is expanding in the basin. Here we present results from the first investigation of OC burial and CH</w:t>
      </w:r>
      <w:r w:rsidRPr="003532DF">
        <w:rPr>
          <w:vertAlign w:val="subscript"/>
        </w:rPr>
        <w:t>4</w:t>
      </w:r>
      <w:r w:rsidRPr="003532DF">
        <w:t xml:space="preserve"> concentrations in the sediments of an Amazonian hydroelectric reservoir. We performed sub-bottom profiling, sediment coring and sediment pore water analysis in the Curuá Una (CUN) reservoir (Amazon, Brazil) during rising- and falling-water periods. The spatially resolved average sediment accumulation rate was 0.6 cm yr</w:t>
      </w:r>
      <w:r w:rsidRPr="003532DF">
        <w:rPr>
          <w:vertAlign w:val="superscript"/>
        </w:rPr>
        <w:t>−1</w:t>
      </w:r>
      <w:r w:rsidRPr="003532DF">
        <w:t>, and the average OC burial rate was 91 g C m</w:t>
      </w:r>
      <w:r w:rsidRPr="003532DF">
        <w:rPr>
          <w:vertAlign w:val="superscript"/>
        </w:rPr>
        <w:t>−2</w:t>
      </w:r>
      <w:r w:rsidRPr="003532DF">
        <w:t> yr</w:t>
      </w:r>
      <w:r w:rsidRPr="003532DF">
        <w:rPr>
          <w:vertAlign w:val="superscript"/>
        </w:rPr>
        <w:t>−1</w:t>
      </w:r>
      <w:r w:rsidRPr="003532DF">
        <w:t>. This is the highest OC burial rate on record for low-latitude hydroelectric reservoirs. Such a high rate probably results from a high OC deposition onto the sediment, which compensates the high OC mineralization at a 28–30 </w:t>
      </w:r>
      <w:r w:rsidRPr="003532DF">
        <w:rPr>
          <w:rFonts w:cs="Calibri"/>
          <w:vertAlign w:val="superscript"/>
        </w:rPr>
        <w:t>∘</w:t>
      </w:r>
      <w:r w:rsidRPr="003532DF">
        <w:t>C water temperature. Elevated OC burial was found near the dam and close to major river inflow areas. C:N ratios between 10.3 and 17 (average ± SD: 12.9±2.1) suggest that both land-derived and aquatic OC accumulate in CUN sediments. About 23 % of the sediment pore water samples had dissolved CH</w:t>
      </w:r>
      <w:r w:rsidRPr="003532DF">
        <w:rPr>
          <w:vertAlign w:val="subscript"/>
        </w:rPr>
        <w:t>4</w:t>
      </w:r>
      <w:r w:rsidRPr="003532DF">
        <w:t xml:space="preserve"> above the saturation concentration. This represents a higher share than in other hydroelectric reservoirs, indicating a high potential for CH</w:t>
      </w:r>
      <w:r w:rsidRPr="003532DF">
        <w:rPr>
          <w:vertAlign w:val="subscript"/>
        </w:rPr>
        <w:t>4</w:t>
      </w:r>
      <w:r w:rsidRPr="003532DF">
        <w:t xml:space="preserve"> ebullition, particularly in river inflow areas.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Quiroz-Moreno, C., Furlan, M.F., de Souza, J.R.B., Augusto, F., Alexandrino, G.L., Mogollón, N.G.S., </w:t>
      </w:r>
      <w:r w:rsidR="00616347">
        <w:t xml:space="preserve">2020. </w:t>
      </w:r>
      <w:r w:rsidRPr="003532DF">
        <w:t>RGC×GC toolbox: an R-package for data processing in comprehensive two-dimensional gas chromatography-mass spectrometry. Microchemical Journal 156, 104830.</w:t>
      </w:r>
    </w:p>
    <w:p w:rsidR="00DB42FE" w:rsidRPr="003532DF" w:rsidRDefault="00DB42FE" w:rsidP="00616347">
      <w:pPr>
        <w:pStyle w:val="EndNoteBibliography"/>
        <w:ind w:left="360"/>
      </w:pPr>
      <w:r w:rsidRPr="003532DF">
        <w:t>http://www.sciencedirect.com/science/article/pii/S0026265X20304914</w:t>
      </w:r>
    </w:p>
    <w:p w:rsidR="00DB42FE" w:rsidRPr="003532DF" w:rsidRDefault="00DB42FE" w:rsidP="00616347">
      <w:pPr>
        <w:pStyle w:val="EndNoteBibliography"/>
        <w:spacing w:after="0"/>
        <w:ind w:left="360"/>
      </w:pPr>
      <w:r w:rsidRPr="003532DF">
        <w:t>Comprehensive two-dimensional gas chromatography (GC × GC) offers detailed chemical information about volatile and semivolatile analytes from complex samples. However, the high complexity of the data structure encourages the development of new tools for a more efficient data handling and analysis. Although some tools have already been presented to overcome this challenge, there is still need for improvement. In this manuscript, we present a toolbox containing a pipeline for end-to-end basic GC × GC data processing which can be used for both, signal pre-processing and multivariate data analysis. The pre-processing algorithms perform signal smoothing, baseline correction, and peak alignment, while the multivariate analysis is done through Multiway Principal Component Analysis (MPCA). The software is capable to prepare the chromatographic data for further applications with other chemometric tools, e.g.: cluster analysis, regression, discriminant analysis, etc. The performance of this new software was tested on in-house experimental dataset and on two other published datasets.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Quistad, S.D., Doulcier, G., Rainey, P.B., </w:t>
      </w:r>
      <w:r w:rsidR="00616347">
        <w:t xml:space="preserve">2020. </w:t>
      </w:r>
      <w:r w:rsidRPr="003532DF">
        <w:t>Experimental manipulation of selfish genetic elements links genes to microbial community function. Philosophical Transactions of the Royal Society B: Biological Sciences 375, 20190681.</w:t>
      </w:r>
    </w:p>
    <w:p w:rsidR="00DB42FE" w:rsidRPr="003532DF" w:rsidRDefault="00DB42FE" w:rsidP="00616347">
      <w:pPr>
        <w:pStyle w:val="EndNoteBibliography"/>
        <w:ind w:left="360"/>
      </w:pPr>
      <w:r w:rsidRPr="003532DF">
        <w:t>https://doi.org/10.1098/rstb.2019.0681</w:t>
      </w:r>
    </w:p>
    <w:p w:rsidR="00DB42FE" w:rsidRPr="003532DF" w:rsidRDefault="00DB42FE" w:rsidP="00616347">
      <w:pPr>
        <w:pStyle w:val="EndNoteBibliography"/>
        <w:spacing w:after="0"/>
        <w:ind w:left="360"/>
      </w:pPr>
      <w:r w:rsidRPr="003532DF">
        <w:t xml:space="preserve">Microbial communities underpin the Earth's biological and geochemical processes, but their complexity hampers understanding. Motivated by the challenge of diversity and the need to forge ways of capturing dynamical behaviour connecting genes to function, biologically independent </w:t>
      </w:r>
      <w:r w:rsidRPr="003532DF">
        <w:lastRenderedPageBreak/>
        <w:t>experimental communities comprising hundreds of microbial genera were established from garden compost and propagated on nitrogen-limited minimal medium with cellulose (paper) as sole carbon source. After 1 year of bi-weekly transfer, communities retained hundreds of genera. To connect genes to function, we used a simple experimental manipulation that involved the periodic collection of selfish genetic elements (SGEs) from separate communities, followed by pooling and redistribution across communities. The treatment was predicted to promote amplification and dissemination of SGEs and thus horizontal gene transfer. Confirmation came from comparative metagenomics, which showed the substantive movement of ecologically significant genes whose dynamic across space and time could be followed. Enrichment of genes implicated in nitrogen metabolism, and particularly ammonification, prompted biochemical assays that revealed a measurable impact on community function. Our simple experimental strategy offers a conceptually new approach for unravelling dynamical processes affecting microbial community function.</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Rainey, P.B., Quistad, S.D., </w:t>
      </w:r>
      <w:r w:rsidR="00616347">
        <w:t xml:space="preserve">2020. </w:t>
      </w:r>
      <w:r w:rsidRPr="003532DF">
        <w:t>Toward a dynamical understanding of microbial communities. Philosophical Transactions of the Royal Society B: Biological Sciences 375, 20190248.</w:t>
      </w:r>
    </w:p>
    <w:p w:rsidR="00DB42FE" w:rsidRPr="003532DF" w:rsidRDefault="00DB42FE" w:rsidP="00616347">
      <w:pPr>
        <w:pStyle w:val="EndNoteBibliography"/>
        <w:ind w:left="360"/>
      </w:pPr>
      <w:r w:rsidRPr="003532DF">
        <w:t>https://doi.org/10.1098/rstb.2019.0248</w:t>
      </w:r>
    </w:p>
    <w:p w:rsidR="00DB42FE" w:rsidRPr="003532DF" w:rsidRDefault="00DB42FE" w:rsidP="00616347">
      <w:pPr>
        <w:pStyle w:val="EndNoteBibliography"/>
        <w:spacing w:after="0"/>
        <w:ind w:left="360"/>
      </w:pPr>
      <w:r w:rsidRPr="003532DF">
        <w:t>The challenge of moving beyond descriptions of microbial community composition to the point where understanding underlying eco-evolutionary dynamics emerges is daunting. While it is tempting to simplify through use of model communities composed of a small number of types, there is a risk that such strategies fail to capture processes that might be specific and intrinsic to complexity of the community itself. Here, we describe approaches that embrace this complexity and show that, in combination with metagenomic strategies, dynamical insight is increasingly possible. Arising from these studies is mounting evidence of rapid eco-evolutionary change among lineages and a sense that processes, particularly those mediated by horizontal gene transfer, not only are integral to system function, but are central to long-term persistence. That such dynamic, systems-level insight is now possible, means that the study and manipulation of microbial communities can move to new levels of inquiry.</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Reeksting, B.J., Hoffmann, T.D., Tan, L., Paine, K., Gebhard, S., </w:t>
      </w:r>
      <w:r w:rsidR="00616347">
        <w:t xml:space="preserve">2020. </w:t>
      </w:r>
      <w:r w:rsidRPr="003532DF">
        <w:t>In-depth profiling of calcite precipitation by environmental bacteria reveals fundamental mechanistic differences with relevance to application. Applied and Environmental Microbiology 86, e02739-19.</w:t>
      </w:r>
    </w:p>
    <w:p w:rsidR="00DB42FE" w:rsidRPr="003532DF" w:rsidRDefault="00DB42FE" w:rsidP="00616347">
      <w:pPr>
        <w:pStyle w:val="EndNoteBibliography"/>
        <w:ind w:left="360"/>
      </w:pPr>
      <w:r w:rsidRPr="003532DF">
        <w:t>http://aem.asm.org/content/86/7/e02739-19.abstract</w:t>
      </w:r>
    </w:p>
    <w:p w:rsidR="00DB42FE" w:rsidRPr="003532DF" w:rsidRDefault="00DB42FE" w:rsidP="00616347">
      <w:pPr>
        <w:pStyle w:val="EndNoteBibliography"/>
        <w:ind w:left="360"/>
      </w:pPr>
      <w:r w:rsidRPr="003532DF">
        <w:t xml:space="preserve">Abstract: Microbially induced calcite precipitation (MICP) has not only helped to shape our planet’s geological features but is also a promising technology to address environmental concerns in civil engineering applications. However, limited understanding of the biomineralization capacity of environmental bacteria impedes application. We therefore surveyed the environment for different mechanisms of precipitation across bacteria. The most fundamental difference was in ureolytic ability, where urease-positive bacteria caused rapid, widespread increases in pH, whereas nonureolytic strains produced such changes slowly and locally. These pH shifts correlated well with patterns of precipitation on solid medium. Strikingly, while both mechanisms led to high levels of precipitation, we observed clear differences in the precipitate. Ureolytic bacteria produced homogenous, inorganic fine crystals, whereas the crystals of nonureolytic strains were larger and had a mixed organic/inorganic composition. When representative strains were tested in application </w:t>
      </w:r>
      <w:r w:rsidRPr="003532DF">
        <w:lastRenderedPageBreak/>
        <w:t>for crack healing in cement mortars, nonureolytic bacteria gave robust results, while ureolytic strains showed more variation. This may be explained by our observation that urease activity differed between growth conditions or by the different natures and therefore different material performances of the precipitates. Our results shed light on the breadth of biomineralization activity among environmental bacteria, an important step toward the rational design of bacterially based engineering solutions.</w:t>
      </w:r>
    </w:p>
    <w:p w:rsidR="00DB42FE" w:rsidRPr="003532DF" w:rsidRDefault="00DB42FE" w:rsidP="00616347">
      <w:pPr>
        <w:pStyle w:val="EndNoteBibliography"/>
        <w:spacing w:after="0"/>
        <w:ind w:left="360"/>
      </w:pPr>
      <w:r w:rsidRPr="003532DF">
        <w:t>Importance: Biomineralization triggered by bacteria is important in the natural environment and has many applications in industry and in civil and geotechnical engineering. The diversity in biomineralization capabilities of environmental bacteria is, however, not well understood. This study surveyed environmental bacteria for their ability to precipitate calcium carbonate minerals and investigated both the mechanisms and the resulting crystals. We show that while urease activity leads to the fastest precipitation, it is by no means essential. Importantly, the same quantities of calcium carbonate are produced by nonureolytic bacteria, and the resulting crystals appear to have larger volumes and more organic components, which are likely beneficial in specific applications. Testing both precipitation mechanisms in a self-healing concrete application showed that nonureolytic bacteria delivered more robust results. Here, we performed a systematic study of the fundamental differences in biomineralization between environmental bacteria, and we provide important information for the design of bacterially based engineering solutions.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Reeves, E.P., Fiebig, J., </w:t>
      </w:r>
      <w:r w:rsidR="00616347">
        <w:t xml:space="preserve">2020. </w:t>
      </w:r>
      <w:r w:rsidRPr="003532DF">
        <w:t>Abiotic synthesis of methane and organic compounds in Earth’s lithosphere. Elements 16, 25-31.</w:t>
      </w:r>
    </w:p>
    <w:p w:rsidR="00DB42FE" w:rsidRPr="003532DF" w:rsidRDefault="00DB42FE" w:rsidP="00616347">
      <w:pPr>
        <w:pStyle w:val="EndNoteBibliography"/>
        <w:ind w:left="360"/>
      </w:pPr>
      <w:r w:rsidRPr="003532DF">
        <w:t>https://doi.org/10.2138/gselements.16.1.25</w:t>
      </w:r>
    </w:p>
    <w:p w:rsidR="00DB42FE" w:rsidRPr="003532DF" w:rsidRDefault="00DB42FE" w:rsidP="00616347">
      <w:pPr>
        <w:pStyle w:val="EndNoteBibliography"/>
        <w:spacing w:after="0"/>
        <w:ind w:left="360"/>
      </w:pPr>
      <w:r w:rsidRPr="003532DF">
        <w:t>Accumulation of molecular hydrogen in geologic systems can create conditions energetically favorable to transform inorganic carbon into methane and other organic compounds. Although hydrocarbons with a potentially abiotic origin have been proposed to form in a number of crustal settings, the ubiquitous presence of organic compounds derived from biological organic matter presents a challenge for unambiguously identifying abiotic organic molecules. In recent years, extensive analysis of methane and other organics in diverse geologic fluids, combined with novel isotope analyses and laboratory simulations, have, however, yielded insights into the distribution of specific abiotic organic molecules in Earth’s lithosphere and the likely conditions and pathways under which they form.</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Reinhardt, M., Goetz, W., Thiel, V., </w:t>
      </w:r>
      <w:r w:rsidR="00616347">
        <w:t xml:space="preserve">2020. </w:t>
      </w:r>
      <w:r w:rsidRPr="003532DF">
        <w:t>Testing flight-like pyrolysis gas chromatography–mass spectrometry as performed by the Mars Organic Molecule Analyzer onboard the ExoMars 2020 rover on Oxia Planum analog samples. Astrobiology 20, 415-428.</w:t>
      </w:r>
    </w:p>
    <w:p w:rsidR="00DB42FE" w:rsidRPr="003532DF" w:rsidRDefault="00DB42FE" w:rsidP="00616347">
      <w:pPr>
        <w:pStyle w:val="EndNoteBibliography"/>
        <w:ind w:left="360"/>
      </w:pPr>
      <w:r w:rsidRPr="003532DF">
        <w:t>https://doi.org/10.1089/ast.2019.2143</w:t>
      </w:r>
    </w:p>
    <w:p w:rsidR="00DB42FE" w:rsidRPr="003532DF" w:rsidRDefault="00DB42FE" w:rsidP="00616347">
      <w:pPr>
        <w:pStyle w:val="EndNoteBibliography"/>
        <w:spacing w:after="0"/>
        <w:ind w:left="360"/>
      </w:pPr>
      <w:r w:rsidRPr="003532DF">
        <w:t xml:space="preserve">The Mars Organic Molecule Analyzer (MOMA) onboard the ExoMars 2020 rover (to be landed in March 2021) utilizes pyrolysis gas chromatography–mass spectrometry (GC-MS) with the aim to detect organic molecules in martian (sub-) surface materials. Pyrolysis, however, may thermally destroy and transform organic matter depending on the temperature and nature of the molecules, thus altering the original molecular signatures. In this study, we tested MOMA flight-like pyrolysis GC-MS without the addition of perchlorates on well-characterized natural mineralogical analog samples for Oxia Planum, the designated ExoMars 2020 landing site. Experiments were performed </w:t>
      </w:r>
      <w:r w:rsidRPr="003532DF">
        <w:lastRenderedPageBreak/>
        <w:t>on an iron-rich shale (that is rich in Fe-Mg-smectites) and an opaline chert, with known organic matter compositions, to test pyrolytic effects related to heating in the MOMA oven. Two hydrocarbon standards (</w:t>
      </w:r>
      <w:r w:rsidRPr="003532DF">
        <w:rPr>
          <w:i/>
        </w:rPr>
        <w:t>n</w:t>
      </w:r>
      <w:r w:rsidRPr="003532DF">
        <w:t>-octadecane and phytane) were also analyzed. The experiments show that during stepwise pyrolysis (300°C, 500°C, and 700°C), (1) low-molecular-weight hydrocarbon biomarkers (such as acyclic isoprenoids and aryl isoprenoids) can be analyzed intact, (2) discrimination between free and complex molecules (macromolecules) is principally possible, (3) secondary pyrolysis products and carryover may affect the 500°C and 700°C runs, and (4) the type of the organic matter (functionalized vs. defunctionalized) governs the pyrolysis outcome rather than the difference in mineralogy. Although pyrosynthesis reactions and carryover clearly have to be considered in data interpretation, our results demonstrate that pyrolysis GC-MS onboard MOMA operated under favorable conditions (</w:t>
      </w:r>
      <w:r w:rsidRPr="003532DF">
        <w:rPr>
          <w:i/>
        </w:rPr>
        <w:t>e.g.</w:t>
      </w:r>
      <w:r w:rsidRPr="003532DF">
        <w:t xml:space="preserve">, no perchlorates) will be capable of providing important structural information on organic matter found on Mars, particularly when used in conjunction with other techniques on MOMA, including derivatization and thermochemolysis GC-MS and laser desorption/ionization–MS. </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Rivera-Hernández, F., Sumner, D.Y., Mangold, N., Banham, S.G., Edgett, K.S., Fedo, C.M., Gupta, S., Gwizd, S., Heydari, E., Maurice, S., Nachon, M., Newsom, H., Schieber, J., Stack-Morgan, K., Stein, N., Wiens, R.C., </w:t>
      </w:r>
      <w:r w:rsidR="00616347">
        <w:t xml:space="preserve">2020. </w:t>
      </w:r>
      <w:r w:rsidRPr="003532DF">
        <w:t>Grain size variations in the Murray Formation: Stratigraphic evidence for changing depositional environments in Gale Crater, Mars. Journal of Geophysical Research: Planets 125, e2019JE006230.</w:t>
      </w:r>
    </w:p>
    <w:p w:rsidR="00DB42FE" w:rsidRPr="003532DF" w:rsidRDefault="00DB42FE" w:rsidP="00616347">
      <w:pPr>
        <w:pStyle w:val="EndNoteBibliography"/>
        <w:ind w:left="360"/>
      </w:pPr>
      <w:r w:rsidRPr="003532DF">
        <w:t>https://doi.org/10.1029/2019JE006230</w:t>
      </w:r>
    </w:p>
    <w:p w:rsidR="00DB42FE" w:rsidRPr="003532DF" w:rsidRDefault="00DB42FE" w:rsidP="00616347">
      <w:pPr>
        <w:pStyle w:val="EndNoteBibliography"/>
        <w:ind w:left="360"/>
      </w:pPr>
      <w:r w:rsidRPr="003532DF">
        <w:t xml:space="preserve">Abstract: The lowermost exposure of the Murray formation in Gale crater, Mars, was interpreted as sediment deposited in an ancient lake based on data collected by the </w:t>
      </w:r>
      <w:r w:rsidRPr="003532DF">
        <w:rPr>
          <w:i/>
        </w:rPr>
        <w:t>Curiosity</w:t>
      </w:r>
      <w:r w:rsidRPr="003532DF">
        <w:t xml:space="preserve"> rover. Constraining the stratigraphic extent and duration of this environment has important implications for the paleohydrology of Gale. Insights into early Martian environments and paleofluid flow velocity can be obtained from grain size in rocks. Visual inspection of grain size is not always available for rocks investigated at field sites on Mars due to limited image coverage. But grain sizes can also be estimated from the Gini Index Mean Score, a grain‐size proxy that uses point‐to‐point chemical variations in ChemCam Laser Induced Breakdown Spectroscopy data. New Gini Index Mean Score results indicate that the Murray formation is dominated by mudstones with grains smaller than the spatial resolution of all rover cameras. Intervals of fine to coarse sandstone also are present, some of which are verified using observations of grain size and sedimentary structures in associated images. Overall, results demonstrate that most of the Murray consists of mudstone, suggesting settling of grains from suspension in low energy depositional environments such as lakes. Some of the mudstones contain desiccation cracks indicating periods of drying with a lowering of lake water level. However, beds and lenses of cross‐bedded sandstones are common at specific intervals, suggesting episodes of fluvial and possibly eolian deposition. The persistence of lacustrine deposits interspersed with fluvial deposits suggests that liquid water was sustained on the Martian surface for tens of thousands to millions of years.</w:t>
      </w:r>
    </w:p>
    <w:p w:rsidR="00DB42FE" w:rsidRPr="003532DF" w:rsidRDefault="00DB42FE" w:rsidP="00616347">
      <w:pPr>
        <w:pStyle w:val="EndNoteBibliography"/>
        <w:spacing w:after="0"/>
        <w:ind w:left="360"/>
      </w:pPr>
      <w:r w:rsidRPr="003532DF">
        <w:t xml:space="preserve">Plain Language Summary: The lowest exposed rocks of the Murray formation in Gale crater, Mars, are interpreted as ancient lake deposits based on </w:t>
      </w:r>
      <w:r w:rsidRPr="003532DF">
        <w:rPr>
          <w:i/>
        </w:rPr>
        <w:t>Curiosity</w:t>
      </w:r>
      <w:r w:rsidRPr="003532DF">
        <w:t xml:space="preserve"> rover data. However, the duration and temporal variability of this ancient lake is still an open question. Here we characterize the vertical distribution of deposits within the entire Murray formation using new grain size information. Characterizing grain size in rocks provides information about the speed of past fluid flows, which is crucial for interpreting depositional environments. However, measuring grain size in images is rarely </w:t>
      </w:r>
      <w:r w:rsidRPr="003532DF">
        <w:lastRenderedPageBreak/>
        <w:t>possible for Martian rocks. Thus, we estimate grain sizes with the Gini Index Mean Score, a grain‐size proxy that uses ChemCam Laser Induced Breakdown Spectroscopy data. Gini Index Mean Score results indicate that the Murray formation is dominated by rocks with mud‐sized grains (i.e., mudstones), suggesting mud‐sized grains settled in a low energy lake environment. Mud cracks occur in some of the mudstones, indicating drying periods in a lake. Rocks with sand‐sized grains (i.e., sandstones) and cross bedding occur at specific intervals, suggesting episodes with stream channels and wind‐blown sand dunes. The dominance of lake deposits interspersed with stream deposits suggests that liquid water was present in Gale crater for tens of thousands to millions of years.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Roberts, R., Flin, R., </w:t>
      </w:r>
      <w:r w:rsidR="00616347">
        <w:t xml:space="preserve">2020. </w:t>
      </w:r>
      <w:r w:rsidRPr="003532DF">
        <w:t>Unlocking the potential: Understanding the psychological factors that influence technology adoption in the upstream oil and gas industry. SPE Journal 25, 515-528.</w:t>
      </w:r>
    </w:p>
    <w:p w:rsidR="00DB42FE" w:rsidRPr="003532DF" w:rsidRDefault="00DB42FE" w:rsidP="00616347">
      <w:pPr>
        <w:pStyle w:val="EndNoteBibliography"/>
        <w:ind w:left="360"/>
      </w:pPr>
      <w:r w:rsidRPr="003532DF">
        <w:t>https://doi.org/10.2118/198903-PA</w:t>
      </w:r>
    </w:p>
    <w:p w:rsidR="00DB42FE" w:rsidRPr="003532DF" w:rsidRDefault="00DB42FE" w:rsidP="00616347">
      <w:pPr>
        <w:pStyle w:val="EndNoteBibliography"/>
        <w:ind w:left="360"/>
      </w:pPr>
      <w:r w:rsidRPr="003532DF">
        <w:t>To maximize the opportunities for the adoption of newly developed products, there is a need to better understand how psychological factors have an impact on the acceptance and deployment of innovative technology in industry. While there is extensive general literature on the psychological factors that influence consumer behavior and the use of new technologies, there seemed to be very limited understanding of this topic, specifically relating to the upstream energy sector. A literature review was conducted to (1) identify what, if any, research has been conducted in relation to the psychological factors influencing technology adoption and deployment in the oil and gas (O&amp;G) industry and (2) identify what interventions have been developed to support technology adoption in O&amp;G.</w:t>
      </w:r>
    </w:p>
    <w:p w:rsidR="00DB42FE" w:rsidRPr="003532DF" w:rsidRDefault="00DB42FE" w:rsidP="00616347">
      <w:pPr>
        <w:pStyle w:val="EndNoteBibliography"/>
        <w:ind w:left="360"/>
      </w:pPr>
      <w:r w:rsidRPr="003532DF">
        <w:t>A literature search was undertaken, and given the limited research anticipated, minimum selection criteria were applied on the basis of Cochrane quality control (Higgins and Green 2011). In the 17 articles that met the search criteria, there was limited discussion of the psychological factors that have an impact on O&amp;G technology adoption. The articles were subject to Braun and Clarke (2006) thematic analysis, producing a list of psychological factors that influence technology adoption in O&amp;G.</w:t>
      </w:r>
    </w:p>
    <w:p w:rsidR="00DB42FE" w:rsidRPr="003532DF" w:rsidRDefault="00DB42FE" w:rsidP="00616347">
      <w:pPr>
        <w:pStyle w:val="EndNoteBibliography"/>
        <w:ind w:left="360"/>
      </w:pPr>
      <w:r w:rsidRPr="003532DF">
        <w:t>Only five psychological factors were identified: personality (e.g., exploration traits and risk aversion), attitude (e.g., trust and not-invented-here syndrome), social (e.g., social norms), cognition (e.g., risk perception), and psychological factors at an organizational level (leadership and organizational culture). In addition, our review identified a small number of interventions that were developed and deployed to support technology adoption in O&amp;G.</w:t>
      </w:r>
    </w:p>
    <w:p w:rsidR="00DB42FE" w:rsidRPr="003532DF" w:rsidRDefault="00DB42FE" w:rsidP="00616347">
      <w:pPr>
        <w:pStyle w:val="EndNoteBibliography"/>
        <w:spacing w:after="0"/>
        <w:ind w:left="360"/>
      </w:pPr>
      <w:r w:rsidRPr="003532DF">
        <w:t>Given the early stages of this research area, combined with the relevance for technology innovation in upstream O&amp;G, our review adds to the literature by identifying an initial framework of the key psychological factors. This essential set of factors can be used to direct future research, as well as to support effective interventions aimed at supporting the introduction of new technology.</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Rognmo, A.U., Al-Khayyat, N., Heldal, S., Vikingstad, I., Eide, Ø., Fredriksen, S.B., Alcorn, Z.P., Graue, A., Bryant, S.L., Kovscek, A.R., Fernø, M.A., </w:t>
      </w:r>
      <w:r w:rsidR="00616347">
        <w:t xml:space="preserve">2020. </w:t>
      </w:r>
      <w:r w:rsidRPr="003532DF">
        <w:t>Performance of silica nanoparticles in CO</w:t>
      </w:r>
      <w:r w:rsidRPr="003532DF">
        <w:rPr>
          <w:vertAlign w:val="subscript"/>
        </w:rPr>
        <w:t>2</w:t>
      </w:r>
      <w:r w:rsidRPr="003532DF">
        <w:t xml:space="preserve"> foam for EOR and CCUS at tough reservoir conditions. SPE Journal 25, 406-415.</w:t>
      </w:r>
    </w:p>
    <w:p w:rsidR="00DB42FE" w:rsidRPr="003532DF" w:rsidRDefault="00DB42FE" w:rsidP="00616347">
      <w:pPr>
        <w:pStyle w:val="EndNoteBibliography"/>
        <w:ind w:left="360"/>
      </w:pPr>
      <w:r w:rsidRPr="003532DF">
        <w:t>https://doi.org/10.2118/191318-PA</w:t>
      </w:r>
    </w:p>
    <w:p w:rsidR="00DB42FE" w:rsidRPr="003532DF" w:rsidRDefault="00DB42FE" w:rsidP="00616347">
      <w:pPr>
        <w:pStyle w:val="EndNoteBibliography"/>
        <w:spacing w:after="0"/>
        <w:ind w:left="360"/>
      </w:pPr>
      <w:r w:rsidRPr="003532DF">
        <w:lastRenderedPageBreak/>
        <w:t>The use of nanoparticles for CO</w:t>
      </w:r>
      <w:r w:rsidRPr="003532DF">
        <w:rPr>
          <w:vertAlign w:val="subscript"/>
        </w:rPr>
        <w:t>2</w:t>
      </w:r>
      <w:r w:rsidRPr="003532DF">
        <w:t>-foam mobility is an upcoming technology for carbon capture, utilization, and storage (CCUS) in mature fields. Silane-modified hydrophilic silica nanoparticles enhance the thermodynamic stability of CO</w:t>
      </w:r>
      <w:r w:rsidRPr="003532DF">
        <w:rPr>
          <w:vertAlign w:val="subscript"/>
        </w:rPr>
        <w:t>2</w:t>
      </w:r>
      <w:r w:rsidRPr="003532DF">
        <w:t xml:space="preserve"> foam at elevated temperatures and salinities and in the presence of oil. The aqueous nanofluid mixes with CO</w:t>
      </w:r>
      <w:r w:rsidRPr="003532DF">
        <w:rPr>
          <w:vertAlign w:val="subscript"/>
        </w:rPr>
        <w:t>2</w:t>
      </w:r>
      <w:r w:rsidRPr="003532DF">
        <w:t xml:space="preserve"> in the porous media to generate CO</w:t>
      </w:r>
      <w:r w:rsidRPr="003532DF">
        <w:rPr>
          <w:vertAlign w:val="subscript"/>
        </w:rPr>
        <w:t>2</w:t>
      </w:r>
      <w:r w:rsidRPr="003532DF">
        <w:t xml:space="preserve"> foam for enhanced oil recovery (EOR) by improving sweep efficiency, resulting in reduced carbon footprint from oil production by the geological storage of anthropogenic CO</w:t>
      </w:r>
      <w:r w:rsidRPr="003532DF">
        <w:rPr>
          <w:vertAlign w:val="subscript"/>
        </w:rPr>
        <w:t>2</w:t>
      </w:r>
      <w:r w:rsidRPr="003532DF">
        <w:t>. Our objective was to investigate the stability of commercially available silica nanoparticles for a range of temperatures and brine salinities to determine if nanoparticles can be used in CO</w:t>
      </w:r>
      <w:r w:rsidRPr="003532DF">
        <w:rPr>
          <w:vertAlign w:val="subscript"/>
        </w:rPr>
        <w:t>2</w:t>
      </w:r>
      <w:r w:rsidRPr="003532DF">
        <w:t>-foam injections for EOR and underground CO</w:t>
      </w:r>
      <w:r w:rsidRPr="003532DF">
        <w:rPr>
          <w:vertAlign w:val="subscript"/>
        </w:rPr>
        <w:t>2</w:t>
      </w:r>
      <w:r w:rsidRPr="003532DF">
        <w:t xml:space="preserve"> storage in high-temperature reservoirs with high brine salinities. The experimental results demonstrated that surface-modified nanoparticles are stable and able to generate CO</w:t>
      </w:r>
      <w:r w:rsidRPr="003532DF">
        <w:rPr>
          <w:vertAlign w:val="subscript"/>
        </w:rPr>
        <w:t>2</w:t>
      </w:r>
      <w:r w:rsidRPr="003532DF">
        <w:t xml:space="preserve"> foam at elevated temperatures (60 to 120°C) and extreme brine salinities (20 wt% NaCl). We find that (1) nanofluids remain stable at extreme salinities (up to 25 wt% total dissolved solids) with the presence of both monovalent (NaCl) and divalent (CaCl</w:t>
      </w:r>
      <w:r w:rsidRPr="003532DF">
        <w:rPr>
          <w:vertAlign w:val="subscript"/>
        </w:rPr>
        <w:t>2</w:t>
      </w:r>
      <w:r w:rsidRPr="003532DF">
        <w:t>) ions; (2) both pressure gradient and incremental oil recovery during tertiary CO</w:t>
      </w:r>
      <w:r w:rsidRPr="003532DF">
        <w:rPr>
          <w:vertAlign w:val="subscript"/>
        </w:rPr>
        <w:t>2</w:t>
      </w:r>
      <w:r w:rsidRPr="003532DF">
        <w:t>-foam injections were 2 to 4 times higher with nanoparticles compared with no-foaming agent; and (3) CO</w:t>
      </w:r>
      <w:r w:rsidRPr="003532DF">
        <w:rPr>
          <w:vertAlign w:val="subscript"/>
        </w:rPr>
        <w:t>2</w:t>
      </w:r>
      <w:r w:rsidRPr="003532DF">
        <w:t xml:space="preserve"> stored during CCUS with nanoparticle-stabilized CO</w:t>
      </w:r>
      <w:r w:rsidRPr="003532DF">
        <w:rPr>
          <w:vertAlign w:val="subscript"/>
        </w:rPr>
        <w:t>2</w:t>
      </w:r>
      <w:r w:rsidRPr="003532DF">
        <w:t xml:space="preserve"> foam increased by more than 300% compared with coinjections without nanoparticles.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Romanak, K.D., Bomse, D.S., </w:t>
      </w:r>
      <w:r w:rsidR="00616347">
        <w:t xml:space="preserve">2020. </w:t>
      </w:r>
      <w:r w:rsidRPr="003532DF">
        <w:t>Field assessment of sensor technology for environmental monitoring using a process-based soil gas method at geologic CO</w:t>
      </w:r>
      <w:r w:rsidRPr="003532DF">
        <w:rPr>
          <w:vertAlign w:val="subscript"/>
        </w:rPr>
        <w:t>2</w:t>
      </w:r>
      <w:r w:rsidRPr="003532DF">
        <w:t xml:space="preserve"> storage sites. International Journal of Greenhouse Gas Control 96, 103003.</w:t>
      </w:r>
    </w:p>
    <w:p w:rsidR="00DB42FE" w:rsidRPr="003532DF" w:rsidRDefault="00DB42FE" w:rsidP="00616347">
      <w:pPr>
        <w:pStyle w:val="EndNoteBibliography"/>
        <w:ind w:left="360"/>
      </w:pPr>
      <w:r w:rsidRPr="003532DF">
        <w:t>http://www.sciencedirect.com/science/article/pii/S1750583619306711</w:t>
      </w:r>
    </w:p>
    <w:p w:rsidR="00DB42FE" w:rsidRPr="003532DF" w:rsidRDefault="00DB42FE" w:rsidP="00616347">
      <w:pPr>
        <w:pStyle w:val="EndNoteBibliography"/>
        <w:spacing w:after="0"/>
        <w:ind w:left="360"/>
      </w:pPr>
      <w:r w:rsidRPr="003532DF">
        <w:t>A process-based approach to soil gas monitoring at geologic CO</w:t>
      </w:r>
      <w:r w:rsidRPr="003532DF">
        <w:rPr>
          <w:vertAlign w:val="subscript"/>
        </w:rPr>
        <w:t>2</w:t>
      </w:r>
      <w:r w:rsidRPr="003532DF">
        <w:t xml:space="preserve"> storage sites is an accurate, simple, and cost-effective alternative to other “concentration-based” soil gas methods which require complicated long-term baseline data collection and analysis. The current limitation to implementing a process-based method on an industrial scale (e.g. gigatons of storage) is a lack of technology for economical field-deployable smart data collection of all required gas concentrations (CO</w:t>
      </w:r>
      <w:r w:rsidRPr="003532DF">
        <w:rPr>
          <w:vertAlign w:val="subscript"/>
        </w:rPr>
        <w:t>2</w:t>
      </w:r>
      <w:r w:rsidRPr="003532DF">
        <w:t>, CH</w:t>
      </w:r>
      <w:r w:rsidRPr="003532DF">
        <w:rPr>
          <w:vertAlign w:val="subscript"/>
        </w:rPr>
        <w:t>4</w:t>
      </w:r>
      <w:r w:rsidRPr="003532DF">
        <w:t>, O</w:t>
      </w:r>
      <w:r w:rsidRPr="003532DF">
        <w:rPr>
          <w:vertAlign w:val="subscript"/>
        </w:rPr>
        <w:t>2,</w:t>
      </w:r>
      <w:r w:rsidRPr="003532DF">
        <w:t xml:space="preserve"> N</w:t>
      </w:r>
      <w:r w:rsidRPr="003532DF">
        <w:rPr>
          <w:vertAlign w:val="subscript"/>
        </w:rPr>
        <w:t>2</w:t>
      </w:r>
      <w:r w:rsidRPr="003532DF">
        <w:t>). To address this gap, the Carbon Transport and Storage Corporation Pty Ltd (CTSCo) deployed commercially-available automated sensors at their proposed future Glenhaven CO</w:t>
      </w:r>
      <w:r w:rsidRPr="003532DF">
        <w:rPr>
          <w:vertAlign w:val="subscript"/>
        </w:rPr>
        <w:t>2</w:t>
      </w:r>
      <w:r w:rsidRPr="003532DF">
        <w:t xml:space="preserve"> storage site, located 21 km SW of the town of Wandoan, Queensland, Australia. The goal was to assess the suitability of currently-available sensors for implementing a process-based monitoring approach with the aim of providing real-time answers on source attribution of surface anomalies that could represent CO</w:t>
      </w:r>
      <w:r w:rsidRPr="003532DF">
        <w:rPr>
          <w:vertAlign w:val="subscript"/>
        </w:rPr>
        <w:t>2</w:t>
      </w:r>
      <w:r w:rsidRPr="003532DF">
        <w:t xml:space="preserve"> migration to surface. Here we report the results of a first-ever long-term (2 years) test of commercially available sensors for the purpose of process-based soil gas environmental monitoring. The accuracy and precision of data collected with an array of sensors for measuring CO</w:t>
      </w:r>
      <w:r w:rsidRPr="003532DF">
        <w:rPr>
          <w:vertAlign w:val="subscript"/>
        </w:rPr>
        <w:t>2</w:t>
      </w:r>
      <w:r w:rsidRPr="003532DF">
        <w:t>, CH</w:t>
      </w:r>
      <w:r w:rsidRPr="003532DF">
        <w:rPr>
          <w:vertAlign w:val="subscript"/>
        </w:rPr>
        <w:t>4</w:t>
      </w:r>
      <w:r w:rsidRPr="003532DF">
        <w:t>, and O</w:t>
      </w:r>
      <w:r w:rsidRPr="003532DF">
        <w:rPr>
          <w:vertAlign w:val="subscript"/>
        </w:rPr>
        <w:t>2</w:t>
      </w:r>
      <w:r w:rsidRPr="003532DF">
        <w:t>, with additional sensors for measuring temperature, relative humidity, and pressure were compared against the current method using gas chromatography. The results indicate that currently-available sensors are not adequate for attaining the long-term monitoring goals set forth by a process-based monitoring approach and additional technology development is recommended.</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Romero, I.C., Judkins, H., Vecchione, M., </w:t>
      </w:r>
      <w:r w:rsidR="00616347">
        <w:t xml:space="preserve">2020. </w:t>
      </w:r>
      <w:r w:rsidRPr="003532DF">
        <w:t>Temporal variability of polycyclic aromatic hydrocarbons in deep-sea cephalopods of the northern Gulf of Mexico. Frontiers in Marine Science 7, 54. doi: 10.3389/fmars.2020.00054.</w:t>
      </w:r>
    </w:p>
    <w:p w:rsidR="00DB42FE" w:rsidRPr="003532DF" w:rsidRDefault="00DB42FE" w:rsidP="00616347">
      <w:pPr>
        <w:pStyle w:val="EndNoteBibliography"/>
        <w:ind w:left="360"/>
      </w:pPr>
      <w:r w:rsidRPr="003532DF">
        <w:t>https://www.frontiersin.org/article/10.3389/fmars.2020.00054</w:t>
      </w:r>
    </w:p>
    <w:p w:rsidR="00DB42FE" w:rsidRPr="003532DF" w:rsidRDefault="00DB42FE" w:rsidP="00616347">
      <w:pPr>
        <w:pStyle w:val="EndNoteBibliography"/>
        <w:spacing w:after="0"/>
        <w:ind w:left="360"/>
      </w:pPr>
      <w:r w:rsidRPr="003532DF">
        <w:lastRenderedPageBreak/>
        <w:t xml:space="preserve">As part of the effort to understand the effects of the Deepwater Horizon Oil Spill (DWHOS), we analyzed tissue from five species of midwater oceanic cephalopods in the northern Gulf of Mexico (GoM) during three time periods, including one period sampled fortuitously just before the spill (2010), and two periods sampled after the spill (2011 and 2015–2016). The species, </w:t>
      </w:r>
      <w:r w:rsidRPr="003532DF">
        <w:rPr>
          <w:i/>
        </w:rPr>
        <w:t>Japetella diaphana</w:t>
      </w:r>
      <w:r w:rsidRPr="003532DF">
        <w:t xml:space="preserve">, </w:t>
      </w:r>
      <w:r w:rsidRPr="003532DF">
        <w:rPr>
          <w:i/>
        </w:rPr>
        <w:t>Abralia redfieldi</w:t>
      </w:r>
      <w:r w:rsidRPr="003532DF">
        <w:t xml:space="preserve">, </w:t>
      </w:r>
      <w:r w:rsidRPr="003532DF">
        <w:rPr>
          <w:i/>
        </w:rPr>
        <w:t>Histioteuthis corona</w:t>
      </w:r>
      <w:r w:rsidRPr="003532DF">
        <w:t xml:space="preserve">, </w:t>
      </w:r>
      <w:r w:rsidRPr="003532DF">
        <w:rPr>
          <w:i/>
        </w:rPr>
        <w:t>Leachia atlantica</w:t>
      </w:r>
      <w:r w:rsidRPr="003532DF">
        <w:t xml:space="preserve">, and </w:t>
      </w:r>
      <w:r w:rsidRPr="003532DF">
        <w:rPr>
          <w:i/>
        </w:rPr>
        <w:t>Onychoteuthis banksii</w:t>
      </w:r>
      <w:r w:rsidRPr="003532DF">
        <w:t xml:space="preserve"> were collected in three geographic areas in the GoM (east, south and southeast of the Macondo wellhead). Results indicate a shift in the composition of polycyclic aromatic hydrocarbons (PAHs) in the tissue of all cephalopods after 2010, with a more petrogenic source in 2011 that weathered and mixed with other sources in 2015–2016. Overall, PAH concentrations, as well as lipid content, were lower in 2011 relative to 2010 and 2015–2016, suggesting secondary effects to oil-residues exposure from the DWHOS. Collectively, PAHs in the tissues of deep-sea cephalopods indicate an episodic exposure to petrogenic PAHs that occurred between 2010 (pre-spill) and 2011, and continued through 2015–2016.</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Rossi, E., Jamali, S., Saar, M.O., Rudolf von Rohr, P., </w:t>
      </w:r>
      <w:r w:rsidR="00616347">
        <w:t xml:space="preserve">2020. </w:t>
      </w:r>
      <w:r w:rsidRPr="003532DF">
        <w:t>Field test of a Combined Thermo-Mechanical Drilling technology. ModeI: Thermal spallation drilling. Journal of Petroleum Science and Engineering 190, 107005.</w:t>
      </w:r>
    </w:p>
    <w:p w:rsidR="00DB42FE" w:rsidRPr="003532DF" w:rsidRDefault="00DB42FE" w:rsidP="00616347">
      <w:pPr>
        <w:pStyle w:val="EndNoteBibliography"/>
        <w:ind w:left="360"/>
      </w:pPr>
      <w:r w:rsidRPr="003532DF">
        <w:t>http://www.sciencedirect.com/science/article/pii/S0920410520301005</w:t>
      </w:r>
    </w:p>
    <w:p w:rsidR="00DB42FE" w:rsidRPr="003532DF" w:rsidRDefault="00DB42FE" w:rsidP="00616347">
      <w:pPr>
        <w:pStyle w:val="EndNoteBibliography"/>
        <w:spacing w:after="0"/>
        <w:ind w:left="360"/>
      </w:pPr>
      <w:r w:rsidRPr="003532DF">
        <w:t xml:space="preserve">Accessing hydrocarbons, geothermal energy and mineral resources requires more and more drilling to great depths and into hard rocks, as many shallow resources in soft rocks have been mined already. Drilling into hard rock to great depths, however, requires reducing the effort (i.e., energy), time (i.e., increasing the rate of penetration) and cost associated with such operations. Thus, a </w:t>
      </w:r>
      <w:r w:rsidRPr="003532DF">
        <w:rPr>
          <w:i/>
        </w:rPr>
        <w:t>Combined Thermo-Mechanical Drilling</w:t>
      </w:r>
      <w:r w:rsidRPr="003532DF">
        <w:t xml:space="preserve"> (CTMD) technology is proposed, which employs a heat source (e.g., a flame jet) and includes two main drilling modes: (I) </w:t>
      </w:r>
      <w:r w:rsidRPr="003532DF">
        <w:rPr>
          <w:i/>
        </w:rPr>
        <w:t>Thermal spallation drilling</w:t>
      </w:r>
      <w:r w:rsidRPr="003532DF">
        <w:t xml:space="preserve">, investigated here as a field test and (II) </w:t>
      </w:r>
      <w:r w:rsidRPr="003532DF">
        <w:rPr>
          <w:i/>
        </w:rPr>
        <w:t>Flame-assisted rotary drilling</w:t>
      </w:r>
      <w:r w:rsidRPr="003532DF">
        <w:t>, investigated as a field test in the companion paper. The CTMD technology is expected to reduce drilling costs, especially in hard rocks, by enhancing the rock penetration rate and increasing the bit lifetime. ModeI of the CTMD technology (</w:t>
      </w:r>
      <w:r w:rsidRPr="003532DF">
        <w:rPr>
          <w:i/>
        </w:rPr>
        <w:t>thermal spallation drilling</w:t>
      </w:r>
      <w:r w:rsidRPr="003532DF">
        <w:t xml:space="preserve">) is investigated here by implementing the concept on a full-scale drilling rig to investigate its feasibility and performance under realistic field conditions. During the test, the successful thermal spallation process is monitored, employing a novel acoustic emission system. The effects of thermal spallation in the granite rock are analyzed to provide conclusions regarding the rock removal performance and the application potential of the technology. The field test shows that thermal spallation of the granitic rock can be successfully achieved even when a liquid (water) is used as the drilling fluid, as long as the heat source is appropriately shielded by compressed-air jets. Thermal damage of the surrounding rock is investigated after the spallation test, employing micro-computer tomography imaging and modeling the stability of the cracks, generated by the spallation field test. This study shows that thermally induced damage is mainly confined within a narrow region close to the rock surface, suggesting that thermal spallation only marginally affects the overall mechanical stability of the borehole. Thus, this confirms that, as part of the </w:t>
      </w:r>
      <w:r w:rsidRPr="003532DF">
        <w:rPr>
          <w:i/>
        </w:rPr>
        <w:t>Combined Thermo-Mechanical Drilling</w:t>
      </w:r>
      <w:r w:rsidRPr="003532DF">
        <w:t xml:space="preserve"> (CTMD) technology, </w:t>
      </w:r>
      <w:r w:rsidRPr="003532DF">
        <w:rPr>
          <w:i/>
        </w:rPr>
        <w:t>thermal spallation drilling</w:t>
      </w:r>
      <w:r w:rsidRPr="003532DF">
        <w:t xml:space="preserve"> is a promising mode that has a high potential of facilitating the drilling of deep boreholes in hard rocks.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lastRenderedPageBreak/>
        <w:t xml:space="preserve">Röstel, L., Guo, J., Banjac, S., Wimmer-Schweingruber, R.F., Heber, B., </w:t>
      </w:r>
      <w:r w:rsidR="00616347">
        <w:t xml:space="preserve">2020. </w:t>
      </w:r>
      <w:r w:rsidRPr="003532DF">
        <w:t>Subsurface radiation environment of Mars and its implication for shielding protection of future habitats. Journal of Geophysical Research: Planets 125, e2019JE006246.</w:t>
      </w:r>
    </w:p>
    <w:p w:rsidR="00DB42FE" w:rsidRPr="003532DF" w:rsidRDefault="00DB42FE" w:rsidP="00616347">
      <w:pPr>
        <w:pStyle w:val="EndNoteBibliography"/>
        <w:ind w:left="360"/>
      </w:pPr>
      <w:r w:rsidRPr="003532DF">
        <w:t>https://doi.org/10.1029/2019JE006246</w:t>
      </w:r>
    </w:p>
    <w:p w:rsidR="00DB42FE" w:rsidRPr="003532DF" w:rsidRDefault="00DB42FE" w:rsidP="00616347">
      <w:pPr>
        <w:pStyle w:val="EndNoteBibliography"/>
        <w:ind w:left="360"/>
      </w:pPr>
      <w:r w:rsidRPr="003532DF">
        <w:t>Abstract: In order to quantify the optimal radiation shielding depth on Mars in preparation for future human habitats on the red planet, it is important to understand the Martian radiation environment and its dependence on the planetary atmospheric and geological properties. With this motivation we calculate the absorbed dose and equivalent dose rates induced by galactic cosmic ray particles at varying heights above and below the Martian surface considering various subsurface compositions (ranging from dry rock to water‐rich regolith). The state‐of‐the‐art Atmospheric Radiation Interaction Simulator based on GEometry And Tracking Monte Carlo method has been employed for simulating particle interaction with the Martian atmosphere as well as subsurface materials. We calculate the absorbed dose in two different phantoms: a thin silicon slab and a water sphere. The former is used to validate our model against the surface measurement by the Radiation Assessment Detector on the Curiosity rover, while the later is used to approximate a human torso, also for evaluation of the biologically weighted equivalent dose. We find that the amount of hydrogen contained in the water‐rich regolith plays an important role in reducing the equivalent dose through modulation of neutron flux (below 10 MeV). This effective shielding by underground water is also present above the surface, providing an indirect shielding for potential human explorations at this region. For long‐term habitats seeking the Martian natural surface material as protection, we also estimate the optimal shielding depth, for different given subsurface compositions, under maximum, average, and minimum heliospheric modulation conditions.</w:t>
      </w:r>
    </w:p>
    <w:p w:rsidR="00DB42FE" w:rsidRPr="003532DF" w:rsidRDefault="00DB42FE" w:rsidP="00616347">
      <w:pPr>
        <w:pStyle w:val="EndNoteBibliography"/>
        <w:spacing w:after="0"/>
        <w:ind w:left="360"/>
      </w:pPr>
      <w:r w:rsidRPr="003532DF">
        <w:t>Plain Language Summary: Space radiation is a major risk for humans, especially for manned missions in deep space and to Mars which does not have an atmosphere thick enough to shield against cosmic high‐energy particles. It is practical and likely for future human habitats on Mars to use natural surface material as shielding protection against radiation. In order to quantify the optimized shielding depth, we model the radiation environment including the absorbed dose and biological equivalent dose induced by omnipresent galactic cosmic rays reaching Mars' surface and also subsurface. We also implement different Martian regolith properties in the model and compare the results. For instance, to limit the annual equivalent dose to be within 100 mSv, the required shielding depths are between 80 cm and 2.5 m depending on the soil composition with hydrated soil requiring less shielding. This is because water (hydrogen)‐rich regolith may effectively reduce equivalent dose both above and below the Martian ground via modulating the flux of fast neutrons (with energy below 10 MeV). In conjunction with the new discovery of subsurface liquid water by Mars Express, our result suggests the advantage of seeking for human landing sites with high water content is also effective for radiation‐shielding protection purposes.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Rozanov, A.Y., Astafieva, M.M., </w:t>
      </w:r>
      <w:r w:rsidR="00616347">
        <w:t xml:space="preserve">2020. </w:t>
      </w:r>
      <w:r w:rsidRPr="003532DF">
        <w:t>Archean eukaryotes: A new outlook. Paleontological Journal 54, 1-5.</w:t>
      </w:r>
    </w:p>
    <w:p w:rsidR="00DB42FE" w:rsidRPr="003532DF" w:rsidRDefault="00DB42FE" w:rsidP="00616347">
      <w:pPr>
        <w:pStyle w:val="EndNoteBibliography"/>
        <w:ind w:left="360"/>
      </w:pPr>
      <w:r w:rsidRPr="003532DF">
        <w:t>https://doi.org/10.1134/S0031030120010086</w:t>
      </w:r>
    </w:p>
    <w:p w:rsidR="00DB42FE" w:rsidRPr="003532DF" w:rsidRDefault="00DB42FE" w:rsidP="00616347">
      <w:pPr>
        <w:pStyle w:val="EndNoteBibliography"/>
        <w:ind w:left="360"/>
      </w:pPr>
      <w:r w:rsidRPr="003532DF">
        <w:t>The earliest finds of probable eukaryotes in the oldest sediments of various regions are reviewed. It is possible that the first eukaryotes could have appeared as early as the Archean.</w:t>
      </w:r>
    </w:p>
    <w:p w:rsidR="00DB42FE" w:rsidRPr="003532DF" w:rsidRDefault="00DB42FE" w:rsidP="00616347">
      <w:pPr>
        <w:pStyle w:val="EndNoteBibliography"/>
        <w:ind w:left="360"/>
      </w:pPr>
      <w:r w:rsidRPr="003532DF">
        <w:lastRenderedPageBreak/>
        <w:t xml:space="preserve">Introduction: For a long time, the first appearance of eukaryotes in the fossil records was dated back to the Gunflint time (1.8–2.0 Ga) in the Early Proterozoic (Schopf, 1983). Organic-walled fossils of presumed fungal nature, of the same age (about 2.0 billion years), are known from the black shales of the Pechenga Assemblage of the Kola Peninsula (Belova and Akhmedov, 2006), as well as </w:t>
      </w:r>
      <w:r w:rsidRPr="003532DF">
        <w:rPr>
          <w:i/>
        </w:rPr>
        <w:t>Pechengia</w:t>
      </w:r>
      <w:r w:rsidRPr="003532DF">
        <w:t>, fossil unicellular organisms from the Pilguyarvi phosphorites (2.04 billion years) of the Kola Peninsula (Rozanov and Astafieva, 2008). Timofeev (1982) was the first to describe eukaryotic microfossils (acritarchs and large trichomes) (Rozanov, Astafieva, 2008) from the Upper Archean deposits of Central Karelia and the middle reaches of the Dnieper; his work was almost unnoticed, although a later monograph edited by Schopf (1983), is very frequently cited. The very possibility of the existence of eukaryotic forms in the Archean still raises many doubts, but recently, new data have emerged that confirm Timofeev’s conclusions on the possible appearance of eukaryotes more than 3.0 billion years ago.</w:t>
      </w:r>
    </w:p>
    <w:p w:rsidR="00DB42FE" w:rsidRPr="003532DF" w:rsidRDefault="00DB42FE" w:rsidP="00616347">
      <w:pPr>
        <w:pStyle w:val="EndNoteBibliography"/>
        <w:ind w:left="360"/>
      </w:pPr>
      <w:r w:rsidRPr="003532DF">
        <w:t>In 2010, large (up to 300 μm in diameter) roundish carbonaceous remains of microorganisms (Javaux et al., 2010) were found in the Middle Archean schists and siltstones of the Moodies Group of the Barberton Greenstone Belt of South Africa (3.2 billion years old). Based on isotope and chemical (Raman microspectroscopy) analyses, as well as the morphological study, the authors suggested that these microorganisms are associated with cyanobacteria, despite the fact that they are much larger than any known cyanobacteria. Buick (2010), studying the same material, instead attributed these large spheroidal forms to acritarchs, i.e., eukaryotes, although no analysis was made of the geochemistry of biomarkers, and the main characters of eukaryotes, such as a well-ornamented surface, and a complex ultrastructure of the cell wall, are absent. Buick states that not all protists have these diagnostic characters; while the presence of one or more of these characters clearly indicates that microfossils were protists, their absence is not a basis to conclude otherwise. We share this opinion.</w:t>
      </w:r>
    </w:p>
    <w:p w:rsidR="00DB42FE" w:rsidRPr="003532DF" w:rsidRDefault="00DB42FE" w:rsidP="00616347">
      <w:pPr>
        <w:pStyle w:val="EndNoteBibliography"/>
        <w:ind w:left="360"/>
      </w:pPr>
      <w:r w:rsidRPr="003532DF">
        <w:t>Later, rather large (up to 70 × 35 μm) lenticular forms with wrinkling folds and a coarse, unusually thick wall (Oehler et al., 2017) were found in the Archean of the Pilbara Craton, Australia (3.0–3.4 Ga). Isotope analysis data suggest that these microorganisms were probably autotrophs. The morphology of these forms (the probable presence of wrinkled folds, the heterogeneous structure of the cell wall that consists of dense aggregations of lattice and globular organic matter) and their size, suggest that they could be eukaryotes.</w:t>
      </w:r>
    </w:p>
    <w:p w:rsidR="00DB42FE" w:rsidRPr="003532DF" w:rsidRDefault="00DB42FE" w:rsidP="00616347">
      <w:pPr>
        <w:pStyle w:val="EndNoteBibliography"/>
        <w:ind w:left="360"/>
      </w:pPr>
      <w:r w:rsidRPr="003532DF">
        <w:t>Results and Discussion: Some few years ago, we studied the most ancient weathering crusts, including the Archean pre-Upper Lopian weathering crusts on volcanic rocks (granites and plagiogranites) of the Okhta Group of the Lekhta Structure in Karelia (Voronye Lake, mouth of the Lower Okhta River) dated 2.8 Ga. The complex of fossil microorganisms discovered was interesting and quite diverse, and contained, among others, a form (Pl. 1, fig. 1) that caused considerable difficulties in interpretation. It was published as a presumably eukaryotic form of unclear systematic affinity (Astafieva et al., 2011, pl. 13, fig. 1). It is an incomplete elongated-oval microfossil, but, given its Archean origin, we can say that it has been preserved quite well. Its dimensions: length ~57 μm, width ~17 μm. It has a rather complex internal structure, and was probably covered with a 2–3 µm thick test.</w:t>
      </w:r>
    </w:p>
    <w:p w:rsidR="00DB42FE" w:rsidRPr="003532DF" w:rsidRDefault="00DB42FE" w:rsidP="00616347">
      <w:pPr>
        <w:pStyle w:val="EndNoteBibliography"/>
        <w:ind w:left="360"/>
      </w:pPr>
      <w:r w:rsidRPr="003532DF">
        <w:t xml:space="preserve">Other elongated oval, bottle-shaped forms were also found at the same location (pl. 1, fig. 2). They are flattened; their length is about 18 μm, width up to 3 μm. Relative to the last microorganisms, a cautious assumption was made that they may be similar to chitinozoans (Astafieva et al., 2011, pl. 12, fig. 2). Some similarities with chitinozoans were also mentioned in the description of a curved </w:t>
      </w:r>
      <w:r w:rsidRPr="003532DF">
        <w:lastRenderedPageBreak/>
        <w:t>bottle-shaped specimen from the pre-Sariolian weathering crust of Lake Paanajärvi (pl. 2, fig. 1) (Astafieva et al., 2011, pl. 12, fig. 1).</w:t>
      </w:r>
    </w:p>
    <w:p w:rsidR="00DB42FE" w:rsidRPr="003532DF" w:rsidRDefault="00DB42FE" w:rsidP="00616347">
      <w:pPr>
        <w:pStyle w:val="EndNoteBibliography"/>
        <w:ind w:left="360"/>
      </w:pPr>
      <w:r w:rsidRPr="003532DF">
        <w:t>Previously, a record of a bottle-shaped specimen, covered with scaly plates and strikingly similar to testate amoebae was published from the Archean of the Khizovar greenstone structure of North Karelia (2.5 Ga) (pl. 2, fig. 2). However, the exceptionally good preservation led to suspicion of later contamination, and we refrained from drawing final conclusions (Astafieva et al., 2005). We are now inclined to consider this specimen to result from contamination by later materials.</w:t>
      </w:r>
    </w:p>
    <w:p w:rsidR="00DB42FE" w:rsidRPr="003532DF" w:rsidRDefault="00DB42FE" w:rsidP="00616347">
      <w:pPr>
        <w:pStyle w:val="EndNoteBibliography"/>
        <w:ind w:left="360"/>
      </w:pPr>
      <w:r w:rsidRPr="003532DF">
        <w:t xml:space="preserve">It should be noted that this “bottle” resembles representatives of the Late Proterozoic genus </w:t>
      </w:r>
      <w:r w:rsidRPr="003532DF">
        <w:rPr>
          <w:i/>
        </w:rPr>
        <w:t>Melanocyrillium</w:t>
      </w:r>
      <w:r w:rsidRPr="003532DF">
        <w:t xml:space="preserve"> of uncertain taxonomic affinity. Such bottle-shaped Late Proterozoic forms have long been described as “vase-shaped microfossils” (VSM). The main difference between the Neoproterozoic forms of </w:t>
      </w:r>
      <w:r w:rsidRPr="003532DF">
        <w:rPr>
          <w:i/>
        </w:rPr>
        <w:t>Melanocyrillium</w:t>
      </w:r>
      <w:r w:rsidRPr="003532DF">
        <w:t xml:space="preserve"> and the Archean specimen is their larger size. It has previously been suggested that </w:t>
      </w:r>
      <w:r w:rsidRPr="003532DF">
        <w:rPr>
          <w:i/>
        </w:rPr>
        <w:t>Melanocyrillium</w:t>
      </w:r>
      <w:r w:rsidRPr="003532DF">
        <w:t xml:space="preserve"> should be attributed to Chitinozoa (Bloeser et al., 1977). However, it was later shown that </w:t>
      </w:r>
      <w:r w:rsidRPr="003532DF">
        <w:rPr>
          <w:i/>
        </w:rPr>
        <w:t>Melanocyrillium</w:t>
      </w:r>
      <w:r w:rsidRPr="003532DF">
        <w:t xml:space="preserve"> and chitinozoa are not related (Bloeser, 1985). The same author suggested that </w:t>
      </w:r>
      <w:r w:rsidRPr="003532DF">
        <w:rPr>
          <w:i/>
        </w:rPr>
        <w:t>Melanocyrillium</w:t>
      </w:r>
      <w:r w:rsidRPr="003532DF">
        <w:t xml:space="preserve"> represents a cyst stage (or, possibly, some other type of reproductive stage) of some organism (such as an unidentified algae), and that the organism itself was probably not able to persist in that physical environment in which its “cysts” (</w:t>
      </w:r>
      <w:r w:rsidRPr="003532DF">
        <w:rPr>
          <w:i/>
        </w:rPr>
        <w:t>Melanocyrillium</w:t>
      </w:r>
      <w:r w:rsidRPr="003532DF">
        <w:t xml:space="preserve">) were preserved. </w:t>
      </w:r>
      <w:r w:rsidRPr="003532DF">
        <w:rPr>
          <w:i/>
        </w:rPr>
        <w:t>Melanocyrillium</w:t>
      </w:r>
      <w:r w:rsidRPr="003532DF">
        <w:t xml:space="preserve"> has also been classified as an algal sporangium (Horodyski, 1987) and a heterotrophic planktonic protist similar to tintinnids (Fairchild et al., 1978). Schopf (Schopf, 1992) suggested that bottle-shaped forms are cysts of testate amoebae. However, Porter et al. (2003) proposed attributing the genera </w:t>
      </w:r>
      <w:r w:rsidRPr="003532DF">
        <w:rPr>
          <w:i/>
        </w:rPr>
        <w:t>Melanocyrillium</w:t>
      </w:r>
      <w:r w:rsidRPr="003532DF">
        <w:t xml:space="preserve"> and </w:t>
      </w:r>
      <w:r w:rsidRPr="003532DF">
        <w:rPr>
          <w:i/>
        </w:rPr>
        <w:t>Caraburina</w:t>
      </w:r>
      <w:r w:rsidRPr="003532DF">
        <w:t xml:space="preserve"> to actual testate amoebae.</w:t>
      </w:r>
    </w:p>
    <w:p w:rsidR="00DB42FE" w:rsidRPr="003532DF" w:rsidRDefault="00DB42FE" w:rsidP="00616347">
      <w:pPr>
        <w:pStyle w:val="EndNoteBibliography"/>
        <w:ind w:left="360"/>
      </w:pPr>
      <w:r w:rsidRPr="003532DF">
        <w:t>Conclusions: This interpretation reinforces the viewpoint that the diversification of eukaryotes was already quite advanced as early as the Middle Proterozoic. In Late Proterozoic sediments, testate amoebae are abundant; their concentration reaches 4000 specimens per mm</w:t>
      </w:r>
      <w:r w:rsidRPr="003532DF">
        <w:rPr>
          <w:vertAlign w:val="superscript"/>
        </w:rPr>
        <w:t>3</w:t>
      </w:r>
      <w:r w:rsidRPr="003532DF">
        <w:t xml:space="preserve"> (Porter et al., 2003). In the Archean and Early Proterozoic rocks that we studied, they occur individually and are extremely rare. It can be assumed that the bottle-shaped specimens that we found that resemble testate amoebae are the same age as the rocks enclosing them, i.e., that they lived at the time of sedimentation. No data refuting this has been found. Therefore, it is possible to suggest the possible existence of eukaryotes in the seas of the Late Archean. Thus, the first appearance of eukaryotes, moreover highly organized eukaryotes such as testate amoebae, is pushed back to the Archean.</w:t>
      </w:r>
    </w:p>
    <w:p w:rsidR="00DB42FE" w:rsidRPr="003532DF" w:rsidRDefault="00DB42FE" w:rsidP="000A2352">
      <w:pPr>
        <w:pStyle w:val="EndNoteBibliography"/>
        <w:spacing w:after="0"/>
        <w:ind w:left="630" w:hanging="270"/>
      </w:pPr>
      <w:r w:rsidRPr="003532DF">
        <w:t>References</w:t>
      </w:r>
    </w:p>
    <w:p w:rsidR="00DB42FE" w:rsidRPr="003532DF" w:rsidRDefault="00DB42FE" w:rsidP="000A2352">
      <w:pPr>
        <w:pStyle w:val="EndNoteBibliography"/>
        <w:spacing w:after="0"/>
        <w:ind w:left="630" w:hanging="270"/>
      </w:pPr>
      <w:r w:rsidRPr="003532DF">
        <w:t>1.   Astafieva, M.M., Gerasimenko, L.M., Geptner, A.R., Zhegallo, Ye.A., Zhmur, S.I., Karpov, G.A., Orleanskiy, V.K., Ponomarenko, A.G., Rozanov, A.Yu., Sumina, Ye.L., Ushatinskaya, G.T., Hoover, R.B., and Shkolnik, E.L., Iskopayemyye bakterii i drugiye mikroorganizmy v zemnykh porodakh i astromaterialakh (Fossil Bacteria and Other Microorganisms in Terrestrial Rocks and Astromaterials), Rozanov, A.Yu. and Ushatinskaya, G.T., Eds., Moscow: Paleontol. Inst. Ross. Akad. Nauk, 2011.</w:t>
      </w:r>
    </w:p>
    <w:p w:rsidR="00DB42FE" w:rsidRPr="003532DF" w:rsidRDefault="00DB42FE" w:rsidP="000A2352">
      <w:pPr>
        <w:pStyle w:val="EndNoteBibliography"/>
        <w:spacing w:after="0"/>
        <w:ind w:left="630" w:hanging="270"/>
      </w:pPr>
      <w:r w:rsidRPr="003532DF">
        <w:t>2.   Astafieva, M.M., Hoover R.B., Rozanov, A.Yu., and Vrevskiy, A.B., Fossil microorganisms in Archaean deposits of Northern Karelia, Proc. SPIE, 2005, vol. 5906, pp. 5906-1–5906-6.</w:t>
      </w:r>
    </w:p>
    <w:p w:rsidR="00DB42FE" w:rsidRPr="003532DF" w:rsidRDefault="00DB42FE" w:rsidP="000A2352">
      <w:pPr>
        <w:pStyle w:val="EndNoteBibliography"/>
        <w:spacing w:after="0"/>
        <w:ind w:left="630" w:hanging="270"/>
      </w:pPr>
      <w:r w:rsidRPr="003532DF">
        <w:t>3.   Belova, M.Yu. and Akhmedov, A.M., Petsamomyces, a new genus of organic-walled microfossils from the coal-bearing deposits of the Early Proterozoic, Kola Peninsula, Paleontol. J., 2006, vol. 40, no. 5, pp. 465–475.</w:t>
      </w:r>
    </w:p>
    <w:p w:rsidR="00DB42FE" w:rsidRPr="003532DF" w:rsidRDefault="00DB42FE" w:rsidP="000A2352">
      <w:pPr>
        <w:pStyle w:val="EndNoteBibliography"/>
        <w:spacing w:after="0"/>
        <w:ind w:left="630" w:hanging="270"/>
      </w:pPr>
      <w:r w:rsidRPr="003532DF">
        <w:t>4.   Bloeser, B., Melanocyrillium a new genus of structurally complex Late Proterozoic microfossils from the Kwagunt Formation (Chuar Group), Grand Canyon, Arizona, J. Paleontol., 1985, vol. 59, no. 5, pp. 741–765.</w:t>
      </w:r>
    </w:p>
    <w:p w:rsidR="00DB42FE" w:rsidRPr="003532DF" w:rsidRDefault="00DB42FE" w:rsidP="000A2352">
      <w:pPr>
        <w:pStyle w:val="EndNoteBibliography"/>
        <w:spacing w:after="0"/>
        <w:ind w:left="630" w:hanging="270"/>
      </w:pPr>
      <w:r w:rsidRPr="003532DF">
        <w:lastRenderedPageBreak/>
        <w:t>5.   Bloeser, B., Schopf, J.W., Horodyski, R.J., and Breed, W.J., Chitinozoans from the Late Precambrian Chuar Group of the Grand Canyon, Arizona, Science, 1977, vol. 195, pp. 676–679.</w:t>
      </w:r>
    </w:p>
    <w:p w:rsidR="00DB42FE" w:rsidRPr="003532DF" w:rsidRDefault="00DB42FE" w:rsidP="000A2352">
      <w:pPr>
        <w:pStyle w:val="EndNoteBibliography"/>
        <w:spacing w:after="0"/>
        <w:ind w:left="630" w:hanging="270"/>
      </w:pPr>
      <w:r w:rsidRPr="003532DF">
        <w:t>6.   Buick, R., Early life: Ancient acritarchs, Nature, 2010, vol. 463, pp. 885–886.</w:t>
      </w:r>
    </w:p>
    <w:p w:rsidR="00DB42FE" w:rsidRPr="003532DF" w:rsidRDefault="00DB42FE" w:rsidP="000A2352">
      <w:pPr>
        <w:pStyle w:val="EndNoteBibliography"/>
        <w:spacing w:after="0"/>
        <w:ind w:left="630" w:hanging="270"/>
      </w:pPr>
      <w:r w:rsidRPr="003532DF">
        <w:t>7.   Fairchild, T.R., Barbour, A.P., and Haralyi, N.L.E., Microfossils in the “Eopaleozoic” Jacadigo Group at Urucum, Mato Grosso, southwest Brazil, Bol. Inst. Geosci. Univ. São Paulo, 1978, no. 9, pp. 74–79.</w:t>
      </w:r>
    </w:p>
    <w:p w:rsidR="00DB42FE" w:rsidRPr="003532DF" w:rsidRDefault="00DB42FE" w:rsidP="000A2352">
      <w:pPr>
        <w:pStyle w:val="EndNoteBibliography"/>
        <w:spacing w:after="0"/>
        <w:ind w:left="630" w:hanging="270"/>
      </w:pPr>
      <w:r w:rsidRPr="003532DF">
        <w:t>8.   Horodyski, R.J., A new occurrence of the vase-shaped fossil Melanocyrillium and new data on this relatively complex Late Precambrian fossil, Geol. Soc. Am. Abstr. Programs, 1987, no. 19, p. 707.</w:t>
      </w:r>
    </w:p>
    <w:p w:rsidR="00DB42FE" w:rsidRPr="003532DF" w:rsidRDefault="00DB42FE" w:rsidP="000A2352">
      <w:pPr>
        <w:pStyle w:val="EndNoteBibliography"/>
        <w:spacing w:after="0"/>
        <w:ind w:left="630" w:hanging="270"/>
      </w:pPr>
      <w:r w:rsidRPr="003532DF">
        <w:t>9.   Javaux, E.J., Marshall, C.P., and Bekker, A., Organic-walled microfossils in 3.2-billion-year-old shallow-marine siliciclastic deposits, Nature, 2010, vol. 463, pp. 934–938.</w:t>
      </w:r>
    </w:p>
    <w:p w:rsidR="00DB42FE" w:rsidRPr="003532DF" w:rsidRDefault="00DB42FE" w:rsidP="000A2352">
      <w:pPr>
        <w:pStyle w:val="EndNoteBibliography"/>
        <w:spacing w:after="0"/>
        <w:ind w:left="630" w:hanging="270"/>
      </w:pPr>
      <w:r w:rsidRPr="003532DF">
        <w:t>10. Oehler, D.Z., Walsh, M.M., Sugitani, K., Liu Ming Chang, and House, Ch.H., Large and robust lenticular microorganisms on the young Earth, Precambr. Res., 2017, vol. 296, pp. 112–119.</w:t>
      </w:r>
    </w:p>
    <w:p w:rsidR="00DB42FE" w:rsidRPr="003532DF" w:rsidRDefault="00DB42FE" w:rsidP="000A2352">
      <w:pPr>
        <w:pStyle w:val="EndNoteBibliography"/>
        <w:spacing w:after="0"/>
        <w:ind w:left="630" w:hanging="270"/>
      </w:pPr>
      <w:r w:rsidRPr="003532DF">
        <w:t>11. Porter, S.M., Meisterfeld, R., and Knoll, A.H., Vase-shaped microfossils from the Neoproterozoic Chuar Group, Grand Canyon: a classification guided by modern testate amoebae, J. Paleontol., 2003, vol. 77, no. 3, pp. 409–429.</w:t>
      </w:r>
    </w:p>
    <w:p w:rsidR="00DB42FE" w:rsidRPr="003532DF" w:rsidRDefault="00DB42FE" w:rsidP="000A2352">
      <w:pPr>
        <w:pStyle w:val="EndNoteBibliography"/>
        <w:spacing w:after="0"/>
        <w:ind w:left="630" w:hanging="270"/>
      </w:pPr>
      <w:r w:rsidRPr="003532DF">
        <w:t>12. Rozanov, A.Yu. and Astafieva, M.M., Prasinophyceae (Green Algae) from the Lower Proterozoic of the Kola Peninsula, Paleontol. J., 2008, vol. 42, no. 4, pp. 425–430.</w:t>
      </w:r>
    </w:p>
    <w:p w:rsidR="00DB42FE" w:rsidRPr="003532DF" w:rsidRDefault="00DB42FE" w:rsidP="000A2352">
      <w:pPr>
        <w:pStyle w:val="EndNoteBibliography"/>
        <w:spacing w:after="0"/>
        <w:ind w:left="630" w:hanging="270"/>
      </w:pPr>
      <w:r w:rsidRPr="003532DF">
        <w:t>13. Schopf, J.W., Ed., Earth’s earliest biosphere: Its origin and evolution, Princeton: Univ. Press, 1983.</w:t>
      </w:r>
    </w:p>
    <w:p w:rsidR="00DB42FE" w:rsidRPr="003532DF" w:rsidRDefault="00DB42FE" w:rsidP="000A2352">
      <w:pPr>
        <w:pStyle w:val="EndNoteBibliography"/>
        <w:spacing w:after="0"/>
        <w:ind w:left="630" w:hanging="270"/>
      </w:pPr>
      <w:r w:rsidRPr="003532DF">
        <w:t>14. Schopf, J.W., Evolution of the Proterozoic biosphere: benchmarks, tempo, and mode, in The Proterozoic biosphere: a multidisciplinary study, Schopf, J.W. and Klein, C., Eds., Cambridge: Univ. Press, 1992, pp. 585–600.</w:t>
      </w:r>
    </w:p>
    <w:p w:rsidR="00DB42FE" w:rsidRPr="003532DF" w:rsidRDefault="00DB42FE" w:rsidP="000A2352">
      <w:pPr>
        <w:pStyle w:val="EndNoteBibliography"/>
        <w:spacing w:after="0"/>
        <w:ind w:left="630" w:hanging="270"/>
      </w:pPr>
      <w:r w:rsidRPr="003532DF">
        <w:t>15. Timofeev, B.V., Mikrofitofossilii rannego dokembriya (Microphytofossils of Early Precambrian), Leningrad: Nauka, 1982.</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Ruff, S.W., Campbell, K.A., Van Kranendonk, M.J., Rice, M.S., Farmer, J.D., </w:t>
      </w:r>
      <w:r w:rsidR="00616347">
        <w:t xml:space="preserve">2020. </w:t>
      </w:r>
      <w:r w:rsidRPr="003532DF">
        <w:t>The case for ancient hot springs in Gusev Crater, Mars. Astrobiology 20, 475-499.</w:t>
      </w:r>
    </w:p>
    <w:p w:rsidR="00DB42FE" w:rsidRPr="003532DF" w:rsidRDefault="00DB42FE" w:rsidP="00616347">
      <w:pPr>
        <w:pStyle w:val="EndNoteBibliography"/>
        <w:ind w:left="360"/>
      </w:pPr>
      <w:r w:rsidRPr="003532DF">
        <w:t>https://doi.org/10.1089/ast.2019.2044</w:t>
      </w:r>
    </w:p>
    <w:p w:rsidR="00DB42FE" w:rsidRPr="003532DF" w:rsidRDefault="00DB42FE" w:rsidP="00616347">
      <w:pPr>
        <w:pStyle w:val="EndNoteBibliography"/>
        <w:spacing w:after="0"/>
        <w:ind w:left="360"/>
      </w:pPr>
      <w:r w:rsidRPr="003532DF">
        <w:t xml:space="preserve">The origin and age of opaline silica deposits discovered by the Spirit rover adjacent to the Home Plate feature in the Columbia Hills of Gusev crater remains debated, in part because of their proximity to sulfur-rich soils. Processes related to fumarolic activity and to hot springs and/or geysers are the leading candidates. Both processes are known to produce opaline silica on Earth, but with differences in composition, morphology, texture, and stratigraphy. Here, we incorporate new and existing observations of the Home Plate region with observations from field and laboratory work to address the competing hypotheses. The results, which include new evidence for a hot spring vent mound, demonstrate that a volcanic hydrothermal system manifesting both hot spring/geyser and fumarolic activity best explains the opaline silica rocks and proximal S-rich materials, respectively. The opaline silica rocks most likely are sinter deposits derived from hot spring activity. Stratigraphic evidence indicates that their deposition occurred before the emplacement of the volcaniclastic deposits comprising Home Plate and nearby ridges. Because sinter deposits throughout geologic history on Earth preserve evidence for microbial life, they are a key target in the search for ancient life on Mars. </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lastRenderedPageBreak/>
        <w:t xml:space="preserve">Ruhl, H.A., Bahr, F.L., Henson, S.A., Hosking, W.B., Espinola, B., Kahru, M., Daniel, P., Drake, P., Edwards, C.A., </w:t>
      </w:r>
      <w:r w:rsidR="00616347">
        <w:t xml:space="preserve">2020. </w:t>
      </w:r>
      <w:r w:rsidRPr="003532DF">
        <w:t>Understanding the remote influences of ocean weather on the episodic pulses of particulate organic carbon flux. Deep Sea Research Part II: Topical Studies in Oceanography 173, 104741.</w:t>
      </w:r>
    </w:p>
    <w:p w:rsidR="00DB42FE" w:rsidRPr="003532DF" w:rsidRDefault="00DB42FE" w:rsidP="00616347">
      <w:pPr>
        <w:pStyle w:val="EndNoteBibliography"/>
        <w:ind w:left="360"/>
      </w:pPr>
      <w:r w:rsidRPr="003532DF">
        <w:t>http://www.sciencedirect.com/science/article/pii/S0967064519302887</w:t>
      </w:r>
    </w:p>
    <w:p w:rsidR="00DB42FE" w:rsidRPr="003532DF" w:rsidRDefault="00DB42FE" w:rsidP="00616347">
      <w:pPr>
        <w:pStyle w:val="EndNoteBibliography"/>
        <w:spacing w:after="0"/>
        <w:ind w:left="360"/>
      </w:pPr>
      <w:r w:rsidRPr="003532DF">
        <w:t>The biological carbon pump has been estimated to export ~5–15 Gt C yr</w:t>
      </w:r>
      <w:r w:rsidRPr="003532DF">
        <w:rPr>
          <w:vertAlign w:val="superscript"/>
        </w:rPr>
        <w:t>−1</w:t>
      </w:r>
      <w:r w:rsidRPr="003532DF">
        <w:t xml:space="preserve"> into the deep ocean, and forms the principal deep-sea food resource. Irregular, intense pulses of particulate organic carbon (POC) have been found to make up about one-third of the overall POC fluxes at a long-term deep-sea research station influenced by coastal upwelling of the California Current, Station M (34°50′N, 123° W, 4000 m depth). However, the drivers of these pulses have been challenging to quantify. It has long been recognized that ocean currents can result in particles being advected while sinking to the point of collection by a sediment trap. Thus, a sediment trap time series can incorporate material from a dynamic catchment area, a concept sometimes referred to as a statistical funnel. This concept raises many questions including: what are the day-to-day conditions at the source locations of the sinking POC? And, how might such ‘ocean weather’ and related ecosystem factors influence the intense variation seen at the seafloor? Here we analyzed three-dimensional ocean currents from a Regional Ocean Modeling System (ROMS) model from 2011 to 2017 to trace the potential source locations of particles sinking at 1000, 100, and 50 m d</w:t>
      </w:r>
      <w:r w:rsidRPr="003532DF">
        <w:rPr>
          <w:vertAlign w:val="superscript"/>
        </w:rPr>
        <w:t>−1</w:t>
      </w:r>
      <w:r w:rsidRPr="003532DF">
        <w:t xml:space="preserve"> from an export depth of 100 m. We then used regionally tailored satellite data products to estimate export flux of POC from these locations. For the 100 m d</w:t>
      </w:r>
      <w:r w:rsidRPr="003532DF">
        <w:rPr>
          <w:vertAlign w:val="superscript"/>
        </w:rPr>
        <w:t>−1</w:t>
      </w:r>
      <w:r w:rsidRPr="003532DF">
        <w:t xml:space="preserve"> speed, the particles had origins of up to ~300 km horizontal distance from the sediment trap location, moored at Station M at 3400 m depth., and nearly 1000 km for the 50 m d</w:t>
      </w:r>
      <w:r w:rsidRPr="003532DF">
        <w:rPr>
          <w:vertAlign w:val="superscript"/>
        </w:rPr>
        <w:t>−1</w:t>
      </w:r>
      <w:r w:rsidRPr="003532DF">
        <w:t xml:space="preserve"> speed. Particle tracking indicated that, there was considerable inter-annual variation in source locations. Particle source locations tended to originate from the east in the summer months, with higher export and POC fluxes. Occasionally these locations were in the vicinity of highly productive ocean features nearer to the coast. We found significant correlations between export flux of organic carbon from the estimated source locations at 100 m depth to trap-estimated POC fluxes at 3400 m depth. These results set the stage for further investigation into sinking speed distributions, conditions at the source locations, and comparisons with mechanistic biogeochemical models and between particle tracking model frameworks.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Ruppert, L.F., Jubb, A.M., Headen, T.F., Youngs, T.G.A., Bandli, B., </w:t>
      </w:r>
      <w:r w:rsidR="00616347">
        <w:t xml:space="preserve">2020. </w:t>
      </w:r>
      <w:r w:rsidRPr="003532DF">
        <w:t>Impacts of mineralogical variation on CO</w:t>
      </w:r>
      <w:r w:rsidRPr="003532DF">
        <w:rPr>
          <w:vertAlign w:val="subscript"/>
        </w:rPr>
        <w:t>2</w:t>
      </w:r>
      <w:r w:rsidRPr="003532DF">
        <w:t xml:space="preserve"> behavior in small pores from producing intervals of the Marcellus Shale: results from neutron scattering. Energy &amp; Fuels 34, 2765-2771.</w:t>
      </w:r>
    </w:p>
    <w:p w:rsidR="00DB42FE" w:rsidRPr="003532DF" w:rsidRDefault="00DB42FE" w:rsidP="00616347">
      <w:pPr>
        <w:pStyle w:val="EndNoteBibliography"/>
        <w:ind w:left="360"/>
      </w:pPr>
      <w:r w:rsidRPr="003532DF">
        <w:t>https://doi.org/10.1021/acs.energyfuels.9b03744</w:t>
      </w:r>
    </w:p>
    <w:p w:rsidR="00DB42FE" w:rsidRPr="003532DF" w:rsidRDefault="00DB42FE" w:rsidP="00616347">
      <w:pPr>
        <w:pStyle w:val="EndNoteBibliography"/>
        <w:spacing w:after="0"/>
        <w:ind w:left="360"/>
      </w:pPr>
      <w:r w:rsidRPr="003532DF">
        <w:t>The Near and InterMediate Range Order Diffractometer (NIMROD) was used to examine the potential impact of shale mineralogy on CO</w:t>
      </w:r>
      <w:r w:rsidRPr="003532DF">
        <w:rPr>
          <w:vertAlign w:val="subscript"/>
        </w:rPr>
        <w:t>2</w:t>
      </w:r>
      <w:r w:rsidRPr="003532DF">
        <w:t xml:space="preserve"> behavior within micropores. Two samples with varying mineral compositions were obtained from producing intervals in the dry gas window in the Middle Devonian Marcellus Shale. One of the samples contained relatively high amounts of quartz and clay and low carbonate, the other contained relatively equal amounts of quartz, carbonate, and clay. The samples were probed with CO</w:t>
      </w:r>
      <w:r w:rsidRPr="003532DF">
        <w:rPr>
          <w:vertAlign w:val="subscript"/>
        </w:rPr>
        <w:t>2</w:t>
      </w:r>
      <w:r w:rsidRPr="003532DF">
        <w:t xml:space="preserve"> at subcritical pressures (20–50 bar) and temperature (22 °C) and characterized over a neutron scattering vector (</w:t>
      </w:r>
      <w:r w:rsidRPr="003532DF">
        <w:rPr>
          <w:i/>
        </w:rPr>
        <w:t>Q</w:t>
      </w:r>
      <w:r w:rsidRPr="003532DF">
        <w:t xml:space="preserve">) range of 0.02 &lt; </w:t>
      </w:r>
      <w:r w:rsidRPr="003532DF">
        <w:rPr>
          <w:i/>
        </w:rPr>
        <w:t>Q</w:t>
      </w:r>
      <w:r w:rsidRPr="003532DF">
        <w:t xml:space="preserve"> &lt; 50 Å</w:t>
      </w:r>
      <w:r w:rsidRPr="003532DF">
        <w:rPr>
          <w:vertAlign w:val="superscript"/>
        </w:rPr>
        <w:t>–1</w:t>
      </w:r>
      <w:r w:rsidRPr="003532DF">
        <w:t xml:space="preserve">. This </w:t>
      </w:r>
      <w:r w:rsidRPr="003532DF">
        <w:rPr>
          <w:i/>
        </w:rPr>
        <w:t>Q</w:t>
      </w:r>
      <w:r w:rsidRPr="003532DF">
        <w:t xml:space="preserve"> range provides information from the atomistic length-scale up to pore radii of 10 nm. Mineralogy variations between the samples did not affect scattering ratios over the entire </w:t>
      </w:r>
      <w:r w:rsidRPr="003532DF">
        <w:rPr>
          <w:i/>
        </w:rPr>
        <w:t>Q</w:t>
      </w:r>
      <w:r w:rsidRPr="003532DF">
        <w:t xml:space="preserve"> range accessible with the NIMROD. </w:t>
      </w:r>
      <w:r w:rsidRPr="003532DF">
        <w:rPr>
          <w:i/>
        </w:rPr>
        <w:t>Q</w:t>
      </w:r>
      <w:r w:rsidRPr="003532DF">
        <w:t xml:space="preserve"> values for the minimum scattering ratios of both samples at similar pressures are </w:t>
      </w:r>
      <w:r w:rsidRPr="003532DF">
        <w:lastRenderedPageBreak/>
        <w:t xml:space="preserve">remarkably similar, particularly for </w:t>
      </w:r>
      <w:r w:rsidRPr="003532DF">
        <w:rPr>
          <w:i/>
        </w:rPr>
        <w:t>Q</w:t>
      </w:r>
      <w:r w:rsidRPr="003532DF">
        <w:t xml:space="preserve"> &lt; </w:t>
      </w:r>
      <w:r w:rsidRPr="003532DF">
        <w:rPr>
          <w:rFonts w:ascii="Cambria Math" w:hAnsi="Cambria Math" w:cs="Cambria Math"/>
        </w:rPr>
        <w:t>∼</w:t>
      </w:r>
      <w:r w:rsidRPr="003532DF">
        <w:t xml:space="preserve">0.09 </w:t>
      </w:r>
      <w:r w:rsidRPr="003532DF">
        <w:rPr>
          <w:rFonts w:cs="Calibri"/>
        </w:rPr>
        <w:t>Å</w:t>
      </w:r>
      <w:r w:rsidRPr="003532DF">
        <w:rPr>
          <w:rFonts w:cs="Calibri"/>
          <w:vertAlign w:val="superscript"/>
        </w:rPr>
        <w:t>–</w:t>
      </w:r>
      <w:r w:rsidRPr="003532DF">
        <w:rPr>
          <w:vertAlign w:val="superscript"/>
        </w:rPr>
        <w:t>1</w:t>
      </w:r>
      <w:r w:rsidRPr="003532DF">
        <w:t>, and maximum scattering ratios are similar in both samples suggesting that mineral pores are so uncommon in the pore sizes examined that they cannot be resolved due to the overwhelming amounts of organic pores in these samples. Overall, these findings suggest that mineralogical variations have little effect on CO</w:t>
      </w:r>
      <w:r w:rsidRPr="003532DF">
        <w:rPr>
          <w:vertAlign w:val="subscript"/>
        </w:rPr>
        <w:t>2</w:t>
      </w:r>
      <w:r w:rsidRPr="003532DF">
        <w:t xml:space="preserve"> behavior within organic matter-hosted shale micropores at high thermal maturities and they lend support to the assertion that CO</w:t>
      </w:r>
      <w:r w:rsidRPr="003532DF">
        <w:rPr>
          <w:vertAlign w:val="subscript"/>
        </w:rPr>
        <w:t>2</w:t>
      </w:r>
      <w:r w:rsidRPr="003532DF">
        <w:t xml:space="preserve"> cannot be stored in the vast surface areas of micropores in organic material in shale formations. In addition, CO</w:t>
      </w:r>
      <w:r w:rsidRPr="003532DF">
        <w:rPr>
          <w:vertAlign w:val="subscript"/>
        </w:rPr>
        <w:t>2</w:t>
      </w:r>
      <w:r w:rsidRPr="003532DF">
        <w:t xml:space="preserve"> enhanced oil recovery (EOR) is unlikely to displace petroleum from some of the smaller mesopores (2.5 to </w:t>
      </w:r>
      <w:r w:rsidRPr="003532DF">
        <w:rPr>
          <w:rFonts w:ascii="Cambria Math" w:hAnsi="Cambria Math" w:cs="Cambria Math"/>
        </w:rPr>
        <w:t>∼</w:t>
      </w:r>
      <w:r w:rsidRPr="003532DF">
        <w:t>3.5 nm) and all of the micropores because they are effectively closed to CO</w:t>
      </w:r>
      <w:r w:rsidRPr="003532DF">
        <w:rPr>
          <w:vertAlign w:val="subscript"/>
        </w:rPr>
        <w:t>2</w:t>
      </w:r>
      <w:r w:rsidRPr="003532DF">
        <w:t>.</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Sagala, F., Hethnawi, A., Nassar, N.N., </w:t>
      </w:r>
      <w:r w:rsidR="00616347">
        <w:t xml:space="preserve">2020. </w:t>
      </w:r>
      <w:r w:rsidRPr="003532DF">
        <w:t>Hydroxyl-functionalized silicate-based nanofluids for enhanced oil recovery. Fuel 269, 117462.</w:t>
      </w:r>
    </w:p>
    <w:p w:rsidR="00DB42FE" w:rsidRPr="003532DF" w:rsidRDefault="00DB42FE" w:rsidP="00616347">
      <w:pPr>
        <w:pStyle w:val="EndNoteBibliography"/>
        <w:ind w:left="360"/>
      </w:pPr>
      <w:r w:rsidRPr="003532DF">
        <w:t>http://www.sciencedirect.com/science/article/pii/S0016236120304579</w:t>
      </w:r>
    </w:p>
    <w:p w:rsidR="00DB42FE" w:rsidRPr="003532DF" w:rsidRDefault="00DB42FE" w:rsidP="00616347">
      <w:pPr>
        <w:pStyle w:val="EndNoteBibliography"/>
        <w:spacing w:after="0"/>
        <w:ind w:left="360"/>
      </w:pPr>
      <w:r w:rsidRPr="003532DF">
        <w:t>During the production life of the reservoir, wettability alteration from an oil-wet to a strongly water-wet condition and/or lowering the interfacial tension (IFT) between the water and oil phases is required at various stages to enhance oil recovery (EOR). Several chemical agents as potential wettability modifiers (e.g., surfactants and polymers) have been regarded and widely used in oil-wet systems. Recently, various nano-fluids, prepared by dispersing nanoparticles in brine solutions or solvents, have attracted attention as injecting fluid due to their unique properties. A large number of nanoparticles are being investigated for EOR applications either as stand-alone or in combination with surfactants and/or polymers. Because of its stability in brine even at low concentrations, totally or partially hydroxyl-functionalized nano-pyroxenes are capable of recovering additional oil after water flooding. However, the influence of their concentration on various parameters has not been previously investigated. Thus, in this study, we investigated the influence of nano-pyroxene on wettability, IFT and asphaltene aggregation. Wettability measurements were performed by contact angle measurements, imbibition experiments and wettability index to understand the underlying mechanisms. The interaction between nanopyroxene and asphaltene size distribution was investigated as a function of nanopyroxene concentration by dynamic light scattering (DLS) measurements. Results from the IFT measurements, contact angle, imbibition experiments and core flooding tests confirm that nanopyroxene affects oil recovery. Contact angle and wettability index measurements confirmed that adsorption of the nanoparticles on the rock surfaces alters the wettability from intermediate wet to stronger water-wet in the absence and presence of initial water films. In the presence of irreducible water saturation during wettability index measurements, depending on the brine composition and pH, initial alteration with aging resulted in a mixed or intermediate wet that changed to stronger water-wet as the nanopyroxene concentration increased. Moreover, increasing the concentration of nanopyroxene resulted in a noticeable IFT reduction but not an ultra-low range that can remobilize trapped oil due to higher capillary forces. Core flooding tests indicated that nanopyroxene-based nanofluid injection offers ~12–14.5% additional oil in addition to waterflooding.</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Sajid, Z., Khan, F., Veitch, B., </w:t>
      </w:r>
      <w:r w:rsidR="00616347">
        <w:t xml:space="preserve">2020. </w:t>
      </w:r>
      <w:r w:rsidRPr="003532DF">
        <w:t>Dynamic ecological risk modelling of hydrocarbon release scenarios in Arctic waters. Marine Pollution Bulletin 153, 111001.</w:t>
      </w:r>
    </w:p>
    <w:p w:rsidR="00DB42FE" w:rsidRPr="003532DF" w:rsidRDefault="00DB42FE" w:rsidP="00616347">
      <w:pPr>
        <w:pStyle w:val="EndNoteBibliography"/>
        <w:ind w:left="360"/>
      </w:pPr>
      <w:r w:rsidRPr="003532DF">
        <w:t>http://www.sciencedirect.com/science/article/pii/S0025326X20301193</w:t>
      </w:r>
    </w:p>
    <w:p w:rsidR="00DB42FE" w:rsidRPr="003532DF" w:rsidRDefault="00DB42FE" w:rsidP="00616347">
      <w:pPr>
        <w:pStyle w:val="EndNoteBibliography"/>
        <w:spacing w:after="0"/>
        <w:ind w:left="360"/>
      </w:pPr>
      <w:r w:rsidRPr="003532DF">
        <w:lastRenderedPageBreak/>
        <w:t>The Arctic is an ecologically diverse area that is increasingly vulnerable to damages from oil spills associated with commercial vessels traversing newly open shipping lanes. The significance of such accidents on Arctic marine habitats and the potential for recovery can be examined using ecological risk assessment (ERA) coupled with a dynamic object-oriented Bayesian network (DOOBN). A DOOBN approach is useful to represent the probabilistic relationships inherent in the interactions between key events associated with an oil spill, including oil dispersion from the source, ice-oil slick interactions, seawater-oil slick formation, sedimentation, and exposures to different aquatic life. From such analysis, a probabilistic cost analysis can be performed to examine the theoretical cost of habitat services lost and restored. The application of an ERA-DOOBN model to assess oil spills in the Arctic is demonstrated using a case study. The utility of the model output for determining habitat restoration costs and developing policy guidelines for ecological response measures in the Arctic is also discussed.</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Salonen, M., Sulkama, S., Mikkola, S., Puurunen, J., Hakanen, E., Tiira, K., Araujo, C., Lohi, H., </w:t>
      </w:r>
      <w:r w:rsidR="00616347">
        <w:t xml:space="preserve">2020. </w:t>
      </w:r>
      <w:r w:rsidRPr="003532DF">
        <w:t>Prevalence, comorbidity, and breed differences in canine anxiety in 13,700 Finnish pet dogs. Scientific Reports 10, 2962.</w:t>
      </w:r>
    </w:p>
    <w:p w:rsidR="00DB42FE" w:rsidRPr="003532DF" w:rsidRDefault="00DB42FE" w:rsidP="00616347">
      <w:pPr>
        <w:pStyle w:val="EndNoteBibliography"/>
        <w:ind w:left="360"/>
      </w:pPr>
      <w:r w:rsidRPr="003532DF">
        <w:t>https://doi.org/10.1038/s41598-020-59837-z</w:t>
      </w:r>
    </w:p>
    <w:p w:rsidR="00DB42FE" w:rsidRPr="003532DF" w:rsidRDefault="00DB42FE" w:rsidP="00616347">
      <w:pPr>
        <w:pStyle w:val="EndNoteBibliography"/>
        <w:spacing w:after="0"/>
        <w:ind w:left="360"/>
      </w:pPr>
      <w:r w:rsidRPr="003532DF">
        <w:t>Behaviour problems and anxieties in dogs decrease their quality of life and may lead to relinquishment or euthanasia. Considering the large number of pet dogs and the commonness of these problematic behaviours, a better understanding of the epidemiology and related molecular and environmental factors is needed. We have here studied the prevalence, comorbidity, and breed specificity of seven canine anxiety-like traits: noise sensitivity, fearfulness, fear of surfaces and heights, inattention/impulsivity, compulsion, separation related behaviour and aggression with an online behaviour questionnaire answered by dog owners. Our results show that noise sensitivity is the most common anxiety-related trait with a prevalence of 32% in 13,700 Finnish pet dogs. Due to the high prevalence of noise sensitivity and fear, they were the most common comorbidities. However, when comparing the relative risk, the largest risk ratios were seen between hyperactivity/inattention, separation related behaviour and compulsion, and between fear and aggression. Furthermore, dog breeds showed large differences in prevalence of all anxiety-related traits, suggesting a strong genetic contribution. As a result, selective breeding focusing on behaviour may reduce the prevalence of canine anxieties. Anxious animals may suffer from chronic stress and thus, modified breeding policies could improve the welfare of our companion dogs.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Samanipour, S., Reid, M.J., Rundberget, J.T., Frost, T.K., Thomas, K.V., </w:t>
      </w:r>
      <w:r w:rsidR="00616347">
        <w:t xml:space="preserve">2020. </w:t>
      </w:r>
      <w:r w:rsidRPr="003532DF">
        <w:t>Concentration and distribution of naphthenic acids in the produced water from offshore Norwegian North Sea oilfields. Environmental Science &amp; Technology 54, 2707-2714.</w:t>
      </w:r>
    </w:p>
    <w:p w:rsidR="00DB42FE" w:rsidRPr="003532DF" w:rsidRDefault="00DB42FE" w:rsidP="00616347">
      <w:pPr>
        <w:pStyle w:val="EndNoteBibliography"/>
        <w:ind w:left="360"/>
      </w:pPr>
      <w:r w:rsidRPr="003532DF">
        <w:t>https://doi.org/10.1021/acs.est.9b05784</w:t>
      </w:r>
    </w:p>
    <w:p w:rsidR="00DB42FE" w:rsidRPr="003532DF" w:rsidRDefault="00DB42FE" w:rsidP="00616347">
      <w:pPr>
        <w:pStyle w:val="EndNoteBibliography"/>
        <w:spacing w:after="0"/>
        <w:ind w:left="360"/>
        <w:rPr>
          <w:rFonts w:ascii="Times New Roman" w:hAnsi="Times New Roman" w:cs="Times New Roman"/>
          <w:sz w:val="24"/>
        </w:rPr>
      </w:pPr>
      <w:r w:rsidRPr="003532DF">
        <w:t xml:space="preserve">Naphthenic acids (NAs) constitute one of the toxic components of the produced water (PW) from offshore oil platforms discharged into the marine environment. We employed liquid chromatography (LC) coupled to high-resolution mass spectrometry with electrospray ionization (ESI) in negative mode for the comprehensive chemical characterization and quantification of NAs in PW samples from six different Norwegian offshore oil platforms. In total, we detected 55 unique NA isomer groups, out of the 181 screened homologous groups, across all tested samples. The </w:t>
      </w:r>
      <w:r w:rsidRPr="003532DF">
        <w:lastRenderedPageBreak/>
        <w:t>frequency of detected NAs in the samples varied between 14 and 44 isomer groups. Principal component analysis (PCA) indicated a clear distinction of the PW from the tested platforms based on the distribution of NAs in these samples. The averaged total concentration of NAs varied between 6 and 56 mg L</w:t>
      </w:r>
      <w:r w:rsidRPr="003532DF">
        <w:rPr>
          <w:vertAlign w:val="superscript"/>
        </w:rPr>
        <w:t>–1</w:t>
      </w:r>
      <w:r w:rsidRPr="003532DF">
        <w:t>, among the tested platforms, whereas the concentrations of the individual NA isomer groups ranged between 0.2 and 44 mg L</w:t>
      </w:r>
      <w:r w:rsidRPr="003532DF">
        <w:rPr>
          <w:vertAlign w:val="superscript"/>
        </w:rPr>
        <w:t>–1</w:t>
      </w:r>
      <w:r w:rsidRPr="003532DF">
        <w:t>. Based on both the distribution and the concentration of NAs in the samples, the C</w:t>
      </w:r>
      <w:r w:rsidRPr="003532DF">
        <w:rPr>
          <w:vertAlign w:val="subscript"/>
        </w:rPr>
        <w:t>8</w:t>
      </w:r>
      <w:r w:rsidRPr="003532DF">
        <w:t>H</w:t>
      </w:r>
      <w:r w:rsidRPr="003532DF">
        <w:rPr>
          <w:vertAlign w:val="subscript"/>
        </w:rPr>
        <w:t>14</w:t>
      </w:r>
      <w:r w:rsidRPr="003532DF">
        <w:t>O</w:t>
      </w:r>
      <w:r w:rsidRPr="003532DF">
        <w:rPr>
          <w:vertAlign w:val="subscript"/>
        </w:rPr>
        <w:t>2</w:t>
      </w:r>
      <w:r w:rsidRPr="003532DF">
        <w:t xml:space="preserve"> isomer group appeared to be a reasonable indicator of the presence and the total concentration of NAs in the samples with a Pearson correlation coefficient of </w:t>
      </w:r>
      <w:r w:rsidRPr="003532DF">
        <w:rPr>
          <w:rFonts w:ascii="Times New Roman" w:hAnsi="Times New Roman" w:cs="Times New Roman"/>
          <w:sz w:val="24"/>
        </w:rPr>
        <w:t>0.89.</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Sánchez, C., </w:t>
      </w:r>
      <w:r w:rsidR="00616347">
        <w:t xml:space="preserve">2020. </w:t>
      </w:r>
      <w:r w:rsidRPr="003532DF">
        <w:t>Fungal potential for the degradation of petroleum-based polymers: An overview of macro- and microplastics biodegradation. Biotechnology Advances 40, 107501.</w:t>
      </w:r>
    </w:p>
    <w:p w:rsidR="00DB42FE" w:rsidRPr="003532DF" w:rsidRDefault="00DB42FE" w:rsidP="00616347">
      <w:pPr>
        <w:pStyle w:val="EndNoteBibliography"/>
        <w:ind w:left="360"/>
      </w:pPr>
      <w:r w:rsidRPr="003532DF">
        <w:t>http://www.sciencedirect.com/science/article/pii/S0734975019302010</w:t>
      </w:r>
    </w:p>
    <w:p w:rsidR="00DB42FE" w:rsidRPr="003532DF" w:rsidRDefault="00DB42FE" w:rsidP="00616347">
      <w:pPr>
        <w:pStyle w:val="EndNoteBibliography"/>
        <w:spacing w:after="0"/>
        <w:ind w:left="360"/>
      </w:pPr>
      <w:r w:rsidRPr="003532DF">
        <w:t>Petroleum-based plastic materials as pollutants raise concerns because of their impact on the global ecosystem and on animal and human health. There is an urgent need to remove plastic waste from the environment to overcome the environmental crisis of plastic pollution. This review describes the natural and unique ability of fungi to invade substrates by using enzymes that have the capacity to detoxify pollutants and are able to act on nonspecific substrates, the fungal ability to produce hydrophobins for surface coating to attach hyphae to hydrophobic substrates, and hyphal ability to penetrate three dimensional substrates. Fungal studies on macro- and microplastics biodegradation have shown that fungi are able to use these materials as the sole carbon and energy source. Further research is required on novel isolates from plastisphere ecosystems, on the use of molecular techniques to characterize plastic-degrading fungi and enhance enzymatic activity levels, and on the use of omics-based technologies to accelerate plastic waste biodegradation processes. The addition of pro-oxidants species (photosensitizers) and the reduction of biocides and antioxidant stabilizers used in the plastic manufacturing process should also be considered to promote biodegradation. Interdisciplinary research and innovative fungal strategies for plastic waste biodegradation, as well as ecofriendly manufacturing of petroleum-based plastics, may help to reduce the negative impacts of plastic waste pollution in the biosphere.</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Sarai, C., Tanifuji, G., Nakayama, T., Kamikawa, R., Takahashi, K., Yazaki, E., Matsuo, E., Miyashita, H., Ishida, K.-i., Iwataki, M., Inagaki, Y., </w:t>
      </w:r>
      <w:r w:rsidR="00616347">
        <w:t xml:space="preserve">2020. </w:t>
      </w:r>
      <w:r w:rsidRPr="003532DF">
        <w:t>Dinoflagellates with relic endosymbiont nuclei as models for elucidating organellogenesis. Proceedings of the National Academy of Sciences 117, 5364-5375.</w:t>
      </w:r>
    </w:p>
    <w:p w:rsidR="00DB42FE" w:rsidRPr="003532DF" w:rsidRDefault="00DB42FE" w:rsidP="00616347">
      <w:pPr>
        <w:pStyle w:val="EndNoteBibliography"/>
        <w:ind w:left="360"/>
      </w:pPr>
      <w:r w:rsidRPr="003532DF">
        <w:t>https://doi.org/10.1073/pnas.1911884117</w:t>
      </w:r>
    </w:p>
    <w:p w:rsidR="00DB42FE" w:rsidRPr="003532DF" w:rsidRDefault="00DB42FE" w:rsidP="00616347">
      <w:pPr>
        <w:pStyle w:val="EndNoteBibliography"/>
        <w:ind w:left="360"/>
      </w:pPr>
      <w:r w:rsidRPr="003532DF">
        <w:t>Significance; We report here two previously undescribed dinoflagellates that can be models for elucidating the genome evolution associated with transforming an endosymbiotic alga into a plastid (organellogenesis). The two dinoflagellate strains possess green algal endosymbionts enclosing the plastids and relic nuclei (nucleomorphs). Our analyses indicated that DNA transfer from the nucleomorph to the host nuclear genome is in progress in both dinoflagellates, even though their endosymbiotic algae have been transformed into organelles (plastids). Moreover, the origins of the two endosymbionts were resolved at the genus level. These two features found in the two dinoflagellates are absent from well-studied nucleomorph-bearing algal lineages, namely cryptophytes and chlorarachniophytes. Consequently, the two dinoflagellates assist us in understanding endosymbiosis-driven eukaryotic genome evolution at a finer scale.</w:t>
      </w:r>
    </w:p>
    <w:p w:rsidR="00DB42FE" w:rsidRPr="003532DF" w:rsidRDefault="00DB42FE" w:rsidP="00616347">
      <w:pPr>
        <w:pStyle w:val="EndNoteBibliography"/>
        <w:spacing w:after="0"/>
        <w:ind w:left="360"/>
      </w:pPr>
      <w:r w:rsidRPr="003532DF">
        <w:lastRenderedPageBreak/>
        <w:t>Abstract; Nucleomorphs are relic endosymbiont nuclei so far found only in two algal groups, cryptophytes and chlorarachniophytes, which have been studied to model the evolutionary process of integrating an endosymbiont alga into a host-governed plastid (organellogenesis). However, past studies suggest that DNA transfer from the endosymbiont to host nuclei had already ceased in both cryptophytes and chlorarachniophytes, implying that the organellogenesis at the genetic level has been completed in the two systems. Moreover, we have yet to pinpoint the closest free-living relative of the endosymbiotic alga engulfed by the ancestral chlorarachniophyte or cryptophyte, making it difficult to infer how organellogenesis altered the endosymbiont genome. To counter the above issues, we need novel nucleomorph-bearing algae, in which endosymbiont-to-host DNA transfer is on-going and for which endosymbiont/plastid origins can be inferred at a fine taxonomic scale. Here, we report two previously undescribed dinoflagellates, strains MGD and TGD, with green algal endosymbionts enclosing plastids as well as relic nuclei (nucleomorphs). We provide evidence for the presence of DNA in the two nucleomorphs and the transfer of endosymbiont genes to the host (dinoflagellate) genomes. Furthermore, DNA transfer between the host and endosymbiont nuclei was found to be in progress in both the MGD and TGD systems. Phylogenetic analyses successfully resolved the origins of the endosymbionts at the genus level. With the combined evidence, we conclude that the host–endosymbiont integration in MGD/TGD is less advanced than that in cryptophytes/chrorarachniophytes, and propose the two dinoflagellates as models for elucidating organellogenesis.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Scanlon, B.R., Ikonnikova, S., Yang, Q., Reedy, R.C., </w:t>
      </w:r>
      <w:r w:rsidR="00616347">
        <w:t xml:space="preserve">2020. </w:t>
      </w:r>
      <w:r w:rsidRPr="003532DF">
        <w:t>Will water issues constrain oil and gas production in the United States? Environmental Science &amp; Technology 54, 3510-3519.</w:t>
      </w:r>
    </w:p>
    <w:p w:rsidR="00DB42FE" w:rsidRPr="003532DF" w:rsidRDefault="00DB42FE" w:rsidP="00616347">
      <w:pPr>
        <w:pStyle w:val="EndNoteBibliography"/>
        <w:ind w:left="360"/>
      </w:pPr>
      <w:r w:rsidRPr="003532DF">
        <w:t>https://doi.org/10.1021/acs.est.9b06390</w:t>
      </w:r>
    </w:p>
    <w:p w:rsidR="00DB42FE" w:rsidRPr="003532DF" w:rsidRDefault="00DB42FE" w:rsidP="00616347">
      <w:pPr>
        <w:pStyle w:val="EndNoteBibliography"/>
        <w:spacing w:after="0"/>
        <w:ind w:left="360"/>
      </w:pPr>
      <w:r w:rsidRPr="003532DF">
        <w:t xml:space="preserve">The rapid growth in U.S. unconventional oil and gas has made energy more available and affordable globally but brought environmental concerns, especially related to water. We analyzed the water-related sustainability of energy extraction, focusing on: (a) meeting the rapidly rising water demand for hydraulic fracturing (HF) and (b) managing rapidly growing volumes of water co-produced with oil and gas (produced water, PW). We analyzed historical (2009–2017) HF water and PW volumes in </w:t>
      </w:r>
      <w:r w:rsidRPr="003532DF">
        <w:rPr>
          <w:rFonts w:ascii="Cambria Math" w:hAnsi="Cambria Math" w:cs="Cambria Math"/>
        </w:rPr>
        <w:t>∼</w:t>
      </w:r>
      <w:r w:rsidRPr="003532DF">
        <w:t>73</w:t>
      </w:r>
      <w:r w:rsidRPr="003532DF">
        <w:rPr>
          <w:rFonts w:cs="Calibri"/>
        </w:rPr>
        <w:t> </w:t>
      </w:r>
      <w:r w:rsidRPr="003532DF">
        <w:t xml:space="preserve">000 wells and projected future water volumes in major U.S. unconventional oil (semiarid regions) and gas (humid regions) plays. Results show a marked increase in HF water use, and depleting groundwater in some semiarid regions (e.g., by ≤58 ft [18 m]/year in Eagle Ford). PW from oil reservoirs (e.g., Permian) is </w:t>
      </w:r>
      <w:r w:rsidRPr="003532DF">
        <w:rPr>
          <w:rFonts w:ascii="Cambria Math" w:hAnsi="Cambria Math" w:cs="Cambria Math"/>
        </w:rPr>
        <w:t>∼</w:t>
      </w:r>
      <w:r w:rsidRPr="003532DF">
        <w:t>15</w:t>
      </w:r>
      <w:r w:rsidRPr="003532DF">
        <w:rPr>
          <w:rFonts w:cs="Calibri"/>
        </w:rPr>
        <w:t>×</w:t>
      </w:r>
      <w:r w:rsidRPr="003532DF">
        <w:t xml:space="preserve"> higher than that from gas reservoirs (Marcellus). Water issues related to both HF water demand and PW supplies may be partially mitigated by closing the loop through reuse of PW for HF of new wells. However, projected PW volumes exceed HF water demand in semiarid Bakken (2.1×), Permian Midland (1.3×), and Delaware (3.7×) oil plays, with the Delaware oil play accounting for </w:t>
      </w:r>
      <w:r w:rsidRPr="003532DF">
        <w:rPr>
          <w:rFonts w:ascii="Cambria Math" w:hAnsi="Cambria Math" w:cs="Cambria Math"/>
        </w:rPr>
        <w:t>∼</w:t>
      </w:r>
      <w:r w:rsidRPr="003532DF">
        <w:t>50% of the projected U.S. oil production. Therefore, water issues could constrain future energy production, particularly in semiarid oil plays.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Schilling, K., Basu, A., Wanner, C., Sanford, R.A., Pallud, C., Johnson, T.M., Mason, P.R.D., </w:t>
      </w:r>
      <w:r w:rsidR="00616347">
        <w:t xml:space="preserve">2020. </w:t>
      </w:r>
      <w:r w:rsidRPr="003532DF">
        <w:t>Mass-dependent selenium isotopic fractionation during microbial reduction of seleno-oxyanions by phylogenetically diverse bacteria. Geochimica et Cosmochimica Acta 276, 274-288.</w:t>
      </w:r>
    </w:p>
    <w:p w:rsidR="00DB42FE" w:rsidRPr="003532DF" w:rsidRDefault="00DB42FE" w:rsidP="00616347">
      <w:pPr>
        <w:pStyle w:val="EndNoteBibliography"/>
        <w:ind w:left="360"/>
      </w:pPr>
      <w:r w:rsidRPr="003532DF">
        <w:t>http://www.sciencedirect.com/science/article/pii/S0016703720301599</w:t>
      </w:r>
    </w:p>
    <w:p w:rsidR="00DB42FE" w:rsidRPr="003532DF" w:rsidRDefault="00DB42FE" w:rsidP="00616347">
      <w:pPr>
        <w:pStyle w:val="EndNoteBibliography"/>
        <w:spacing w:after="0"/>
        <w:ind w:left="360"/>
      </w:pPr>
      <w:r w:rsidRPr="003532DF">
        <w:lastRenderedPageBreak/>
        <w:t xml:space="preserve">Selenium (Se) isotope fractionation has been widely used for constraining redox conditions and microbial processes in both modern and ancient environments, but our knowledge of the controls on fractionation during microbial reduction of Se-oxyanions is based on a limited number of studies. Here we complement and expand the currently available pure culture data for Se isotope fractionation by investigating for the first time six phylogenetically diverse, mesophilic, and non-respiring bacterial strains that reduce Se-oxyanions to elemental Se [Se(0)]. Experiments were performed with either selenate [Se(VI)] or selenite [Se(IV)] at lower, more environmentally-relevant Se (9–47 μM) and carbon (500 μM) concentrations than previously investigated. </w:t>
      </w:r>
      <w:r w:rsidRPr="003532DF">
        <w:rPr>
          <w:i/>
        </w:rPr>
        <w:t>Enterobacter cloacae</w:t>
      </w:r>
      <w:r w:rsidRPr="003532DF">
        <w:t xml:space="preserve"> SLD1a-1, </w:t>
      </w:r>
      <w:r w:rsidRPr="003532DF">
        <w:rPr>
          <w:i/>
        </w:rPr>
        <w:t>Desulfitobacterium chlororespirans</w:t>
      </w:r>
      <w:r w:rsidRPr="003532DF">
        <w:t xml:space="preserve"> Co23 and </w:t>
      </w:r>
      <w:r w:rsidRPr="003532DF">
        <w:rPr>
          <w:i/>
        </w:rPr>
        <w:t>Desulfitobacterium sp.</w:t>
      </w:r>
      <w:r w:rsidRPr="003532DF">
        <w:t xml:space="preserve"> Viet-1 were incubated with Se(VI) and Se(IV). </w:t>
      </w:r>
      <w:r w:rsidRPr="003532DF">
        <w:rPr>
          <w:i/>
        </w:rPr>
        <w:t>Geobacter sulfurreducens</w:t>
      </w:r>
      <w:r w:rsidRPr="003532DF">
        <w:t xml:space="preserve"> PCA, </w:t>
      </w:r>
      <w:r w:rsidRPr="003532DF">
        <w:rPr>
          <w:i/>
        </w:rPr>
        <w:t>Anaeromyxobacter dehalogenans</w:t>
      </w:r>
      <w:r w:rsidRPr="003532DF">
        <w:t xml:space="preserve"> FRC-W and </w:t>
      </w:r>
      <w:r w:rsidRPr="003532DF">
        <w:rPr>
          <w:i/>
        </w:rPr>
        <w:t>Shewanella sp</w:t>
      </w:r>
      <w:r w:rsidRPr="003532DF">
        <w:t xml:space="preserve">. (NR) were examined for their ability reducing Se(IV) to Se(0). Our data confirm that microbial reduction of both Se-oxyanions is accompanied by large kinetic isotopic fractionation (reported as </w:t>
      </w:r>
      <w:r w:rsidRPr="003532DF">
        <w:rPr>
          <w:vertAlign w:val="superscript"/>
        </w:rPr>
        <w:t>82/76</w:t>
      </w:r>
      <w:r w:rsidRPr="003532DF">
        <w:rPr>
          <w:i/>
        </w:rPr>
        <w:t>ε</w:t>
      </w:r>
      <w:r w:rsidRPr="003532DF">
        <w:t> = 1000×(</w:t>
      </w:r>
      <w:r w:rsidRPr="003532DF">
        <w:rPr>
          <w:vertAlign w:val="superscript"/>
        </w:rPr>
        <w:t>82/76</w:t>
      </w:r>
      <w:r w:rsidRPr="003532DF">
        <w:t>α-1) in ‰). Under our experimental conditions, microbial reduction of Se(VI) shows consistently greater isotope fractionation (</w:t>
      </w:r>
      <w:r w:rsidRPr="003532DF">
        <w:rPr>
          <w:i/>
        </w:rPr>
        <w:t>ε</w:t>
      </w:r>
      <w:r w:rsidRPr="003532DF">
        <w:t> = −9.2‰ to −11.8‰) than reduction of Se(IV) (</w:t>
      </w:r>
      <w:r w:rsidRPr="003532DF">
        <w:rPr>
          <w:i/>
        </w:rPr>
        <w:t>ε</w:t>
      </w:r>
      <w:r w:rsidRPr="003532DF">
        <w:t> = −6.2 to −7.8‰) confirming the difference in metabolic pathways for the reduction of the two Se-oxyanions. For Se(VI), an inverse relationship between normalized cell specific reduction rate (cSRR) and Se isotope fractionation suggests that the kinetic isotope effect for Se(VI) reduction is governed by an enzymatically-specific pathway related to the bacterial strain-specific physiology. In contrast, the lack of correlation between normalized cSRR and isotope fractionation for Se(IV) reduction indicates a non-enzyme specific pathway which is dominantly extracellular. Our study highlights the importance to understand microbially-mediated Se isotope fractionation depending on Se species, and cell-specific reduction rates before Se isotope ratios can become a fully applicable tool to interpret Se isotopic changes in modern and ancient environments.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Schmidt, P., Rageot, M., Blessing, M., Tennie, C., </w:t>
      </w:r>
      <w:r w:rsidR="00616347">
        <w:t xml:space="preserve">2020. </w:t>
      </w:r>
      <w:r w:rsidRPr="003532DF">
        <w:t>The Zandmotor data do not resolve the question whether Middle Paleolithic birch tar making was complex or not. Proceedings of the National Academy of Sciences 117, 4456-4457.</w:t>
      </w:r>
    </w:p>
    <w:p w:rsidR="00DB42FE" w:rsidRPr="003532DF" w:rsidRDefault="00DB42FE" w:rsidP="00616347">
      <w:pPr>
        <w:pStyle w:val="EndNoteBibliography"/>
        <w:ind w:left="360"/>
      </w:pPr>
      <w:r w:rsidRPr="003532DF">
        <w:t>https://doi.org/10.1073/pnas.1919564117</w:t>
      </w:r>
    </w:p>
    <w:p w:rsidR="00DB42FE" w:rsidRPr="003532DF" w:rsidRDefault="00DB42FE" w:rsidP="00616347">
      <w:pPr>
        <w:pStyle w:val="EndNoteBibliography"/>
        <w:ind w:left="360"/>
      </w:pPr>
      <w:r w:rsidRPr="003532DF">
        <w:t>Niekus et al. (1) present a find of Neanderthal birch tar from Zandmotor (The Netherlands), concluding that a cognitively complex underground production method was used. However, Schmidt et al. (2) recently showed that birch tar production can be simple [burning bark near stones: the condensation method (2)]. Two arguments are used by Niekus et al. (1) to claim that the Zandmotor tar was produced with a complex method: The efficiency of simpler techniques was too low, and their tar’s composition indicates a complex technique. As we will argue, these arguments are invalid.</w:t>
      </w:r>
    </w:p>
    <w:p w:rsidR="00DB42FE" w:rsidRPr="003532DF" w:rsidRDefault="00DB42FE" w:rsidP="00616347">
      <w:pPr>
        <w:pStyle w:val="EndNoteBibliography"/>
        <w:ind w:left="360"/>
      </w:pPr>
      <w:r w:rsidRPr="003532DF">
        <w:t>Comment on: Niekus, M.J.L.T., Kozowyk, P.R.B., Langejans, G.H.J., Ngan-Tillard, D., van Keulen, H., van der Plicht, J., Cohen, K.M., van Wingerden, W., van Os, B., Smit, B.I., Amkreutz, L.W.S.W., Johansen, L., Verbaas, A., Dusseldorp, G.L., 2019. Middle Paleolithic complex technology and a Neandertal tar-backed tool from the Dutch North Sea. Proceedings of the National Academy of Sciences 116, 22081-22087.</w:t>
      </w:r>
    </w:p>
    <w:p w:rsidR="00DB42FE" w:rsidRPr="003532DF" w:rsidRDefault="00DB42FE" w:rsidP="000A2352">
      <w:pPr>
        <w:pStyle w:val="EndNoteBibliography"/>
        <w:spacing w:after="0"/>
        <w:ind w:left="360"/>
      </w:pPr>
      <w:r w:rsidRPr="003532DF">
        <w:t xml:space="preserve">Reply to Comment: Kozowyk, P.R.B., Langejans, G.H.J., Dusseldorp, G.L., Niekus, M.J.L.T., </w:t>
      </w:r>
      <w:r w:rsidR="00616347">
        <w:t xml:space="preserve">2020. </w:t>
      </w:r>
      <w:r w:rsidRPr="003532DF">
        <w:t>Reply to Schmidt et al.: Interpretation of Paleolithic adhesive production: Combining experimental and paleoenvironmental information. Proceedings of the National Academy of Sciences, 117(9), 4458-4459</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Schultz, R., Wang, R., </w:t>
      </w:r>
      <w:r w:rsidR="00616347">
        <w:t xml:space="preserve">2020. </w:t>
      </w:r>
      <w:r w:rsidRPr="003532DF">
        <w:t>Newly emerging cases of hydraulic fracturing induced seismicity in the Duvernay East Shale Basin. Tectonophysics 779, 228393.</w:t>
      </w:r>
    </w:p>
    <w:p w:rsidR="00DB42FE" w:rsidRPr="003532DF" w:rsidRDefault="00DB42FE" w:rsidP="00616347">
      <w:pPr>
        <w:pStyle w:val="EndNoteBibliography"/>
        <w:ind w:left="360"/>
      </w:pPr>
      <w:r w:rsidRPr="003532DF">
        <w:t>http://www.sciencedirect.com/science/article/pii/S0040195120300767</w:t>
      </w:r>
    </w:p>
    <w:p w:rsidR="00DB42FE" w:rsidRPr="003532DF" w:rsidRDefault="00DB42FE" w:rsidP="00616347">
      <w:pPr>
        <w:pStyle w:val="EndNoteBibliography"/>
        <w:spacing w:after="0"/>
        <w:ind w:left="360"/>
      </w:pPr>
      <w:r w:rsidRPr="003532DF">
        <w:t>Hydraulic fracturing (HF) in the Duvernay Formation near Fox Creek, Alberta, Canada, has produced some of the most prolific clusters of induced seismicity. In this paper, we describe newly emerging clusters of events occurring in previously quiescent (and undeveloped) areas of the Duvernay Formation. In the Duvernay East Shale Basin, an industry supplemented waveform database is examined using a variety of seismological techniques. Here, strike-slip events as large as 4.18 M</w:t>
      </w:r>
      <w:r w:rsidRPr="003532DF">
        <w:rPr>
          <w:vertAlign w:val="subscript"/>
        </w:rPr>
        <w:t>L</w:t>
      </w:r>
      <w:r w:rsidRPr="003532DF">
        <w:t xml:space="preserve"> have been felt in nearby cities. Temporal relationships suggest these clusters are almost certainly (&gt;99.7% confidence) caused by nearby HF. Spatially, these earthquakes tend to occur in the strata directly overlying the Duvernay Formation and laterally near a horizontal well. One exceptional cluster clearly delineates a 1.5 km offset between its centroid and the inducing horizontal well, raising questions about the earthquake triggering mechanism. Westward in the Duvernay, two minor clusters within the Willesden Green region appear to be tenuously related to HF completions. This study also places constraints on the structural geology of faulting occurring in the Rocky Mountain House Seismogenic Zone – a region of induced seismicity related to secondary recovery in the Strachan D-3A pool. Here, our moment tensors and double difference relocations describe thrust-slip on a fault underlying the target formation. Last, the largest event (4.27 M</w:t>
      </w:r>
      <w:r w:rsidRPr="003532DF">
        <w:rPr>
          <w:vertAlign w:val="subscript"/>
        </w:rPr>
        <w:t>L</w:t>
      </w:r>
      <w:r w:rsidRPr="003532DF">
        <w:t>) in our study area was likely natural, due to its deeper hypocentral depth (~15 km) and non-correspondence with industrial operations. Overall, the newly emerging clusters are consistent with reactivation of basement rooted faults.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Schulz, T., Povinec, P.P., Ferrière, L., Jull, A.J.T., Kováčik, A., Sýkora, I., Tusch, J., Münker, C., Topa, D., Koeberl, C., </w:t>
      </w:r>
      <w:r w:rsidR="00616347">
        <w:t xml:space="preserve">2020. </w:t>
      </w:r>
      <w:r w:rsidRPr="003532DF">
        <w:t>The history of the Tissint meteorite, from its crystallization on Mars to its exposure in space: New geochemical, isotopic, and cosmogenic nuclide data. Meteoritics &amp; Planetary Science 55, 294-311.</w:t>
      </w:r>
    </w:p>
    <w:p w:rsidR="00DB42FE" w:rsidRPr="003532DF" w:rsidRDefault="00DB42FE" w:rsidP="00616347">
      <w:pPr>
        <w:pStyle w:val="EndNoteBibliography"/>
        <w:ind w:left="360"/>
      </w:pPr>
      <w:r w:rsidRPr="003532DF">
        <w:t>https://doi.org/10.1111/maps.13435</w:t>
      </w:r>
    </w:p>
    <w:p w:rsidR="00DB42FE" w:rsidRPr="003532DF" w:rsidRDefault="00DB42FE" w:rsidP="00616347">
      <w:pPr>
        <w:pStyle w:val="EndNoteBibliography"/>
        <w:spacing w:after="0"/>
        <w:ind w:left="360"/>
      </w:pPr>
      <w:r w:rsidRPr="003532DF">
        <w:t xml:space="preserve">Abstract The Tissint meteorite fell on July 18, 2011 in Morocco and was quickly recovered, allowing the investigation of a new unaltered sample from Mars. We report new high-field strength and highly siderophile element (HSE) data, Sr-Nd-Hf-W-Os isotope analyses, and data for cosmogenic nuclides in order to examine the history of the Tissint meteorite, from its source composition and crystallization to its irradiation history. We present high-field strength element compositions that are typical for depleted Martian basalts (0.174 ppm Nb, 17.4 ppm Zr, 0.7352 ppm Hf, and 0.0444 ppm W), and, together with an extended literature data set for shergottites, help to reevaluate Mars? tectonic evolution in comparison to that of the early Earth. HSE contents (0.07 ppb Re, 0.92 ppb Os, 2.55 ppb Ir, and 7.87 ppb Pt) vary significantly in comparison to literature data, reflecting significant sample inhomogeneity. Isotope data for Os and W (187Os/188Os = 0.1289 ± 15 and an ε182W = +1.41 ± 0.46) are both indistinguishable from literature data. An internal Lu-Hf isochron for Tissint defines a crystallization age of 665 ± 74 Ma. Considering only Sm-Nd and Lu-Hf chronometry, we obtain, using our and literature values, a best estimate for the age of Tissint of 582 ± 18 Ma (MSWD = 3.2). Cosmogenic radionuclides analyzed in the Tissint meteorite are typical for a recent fall. Tissint's pre-atmospheric radius was estimated to be 22 ± 2 cm, resulting in an estimated total </w:t>
      </w:r>
      <w:r w:rsidRPr="003532DF">
        <w:lastRenderedPageBreak/>
        <w:t>mass of 130 ± 40 kg. Our cosmic-ray exposure age of 0.9 ± 0.2 Ma is consistent with earlier estimations and exposure ages for other shergottites in general.</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Scranton, M.I., Taylor, G.T., Thunell, R.C., Muller-Karger, F.E., Astor, Y., Swart, P., Edgcomb, V.P., Pachiadaki, M.G., </w:t>
      </w:r>
      <w:r w:rsidR="00616347">
        <w:t xml:space="preserve">2020. </w:t>
      </w:r>
      <w:r w:rsidRPr="003532DF">
        <w:t>Anomalous δ</w:t>
      </w:r>
      <w:r w:rsidRPr="003532DF">
        <w:rPr>
          <w:vertAlign w:val="superscript"/>
        </w:rPr>
        <w:t>13</w:t>
      </w:r>
      <w:r w:rsidRPr="003532DF">
        <w:t>C in particulate organic carbon at the chemoautotrophy maximum in the Cariaco Basin. Journal of Geophysical Research: Biogeosciences 125, e2019JG005276.</w:t>
      </w:r>
    </w:p>
    <w:p w:rsidR="00DB42FE" w:rsidRPr="003532DF" w:rsidRDefault="00DB42FE" w:rsidP="00616347">
      <w:pPr>
        <w:pStyle w:val="EndNoteBibliography"/>
        <w:ind w:left="360"/>
      </w:pPr>
      <w:r w:rsidRPr="003532DF">
        <w:t>https://doi.org/10.1029/2019JG005276</w:t>
      </w:r>
    </w:p>
    <w:p w:rsidR="00DB42FE" w:rsidRPr="003532DF" w:rsidRDefault="00DB42FE" w:rsidP="00616347">
      <w:pPr>
        <w:pStyle w:val="EndNoteBibliography"/>
        <w:spacing w:after="0"/>
        <w:ind w:left="360"/>
      </w:pPr>
      <w:r w:rsidRPr="003532DF">
        <w:t xml:space="preserve">A chemoautotrophy maximum is present in many anoxic basins at the sulfidic layer's upper boundary, but the factors controlling this feature are poorly understood. In 13 of 31 cruises to the Cariaco Basin, particulate organic carbon (POC) was enriched in </w:t>
      </w:r>
      <w:r w:rsidRPr="003532DF">
        <w:rPr>
          <w:vertAlign w:val="superscript"/>
        </w:rPr>
        <w:t>13</w:t>
      </w:r>
      <w:r w:rsidRPr="003532DF">
        <w:t>C (δ</w:t>
      </w:r>
      <w:r w:rsidRPr="003532DF">
        <w:rPr>
          <w:vertAlign w:val="superscript"/>
        </w:rPr>
        <w:t>13</w:t>
      </w:r>
      <w:r w:rsidRPr="003532DF">
        <w:t>C</w:t>
      </w:r>
      <w:r w:rsidRPr="003532DF">
        <w:rPr>
          <w:vertAlign w:val="subscript"/>
        </w:rPr>
        <w:t>POC</w:t>
      </w:r>
      <w:r w:rsidRPr="003532DF">
        <w:t xml:space="preserve"> as high as −16‰) within the oxic/sulfidic transition compared to photic zone values (−23 to −26‰). During “heavy” cruises, fluxes of O</w:t>
      </w:r>
      <w:r w:rsidRPr="003532DF">
        <w:rPr>
          <w:vertAlign w:val="subscript"/>
        </w:rPr>
        <w:t>2</w:t>
      </w:r>
      <w:r w:rsidRPr="003532DF">
        <w:t xml:space="preserve"> and [NO</w:t>
      </w:r>
      <w:r w:rsidRPr="003532DF">
        <w:rPr>
          <w:vertAlign w:val="subscript"/>
        </w:rPr>
        <w:t>3</w:t>
      </w:r>
      <w:r w:rsidRPr="003532DF">
        <w:rPr>
          <w:vertAlign w:val="superscript"/>
        </w:rPr>
        <w:t>−</w:t>
      </w:r>
      <w:r w:rsidRPr="003532DF">
        <w:t xml:space="preserve"> + NO</w:t>
      </w:r>
      <w:r w:rsidRPr="003532DF">
        <w:rPr>
          <w:vertAlign w:val="subscript"/>
        </w:rPr>
        <w:t>2</w:t>
      </w:r>
      <w:r w:rsidRPr="003532DF">
        <w:rPr>
          <w:vertAlign w:val="superscript"/>
        </w:rPr>
        <w:t>−</w:t>
      </w:r>
      <w:r w:rsidRPr="003532DF">
        <w:t xml:space="preserve">] to the oxic/sulfidic interface were significantly lower than during “light” cruises. Cruises with isotopically heavy POC were more common between 2013 and 2015 when suspended particles below the photic zone tended to be nitrogen rich compared to later cruises. Within the chemoautotrophic layer, nitrogen‐rich particles (molar ratio C/N&lt; 10) were more likely to be </w:t>
      </w:r>
      <w:r w:rsidRPr="003532DF">
        <w:rPr>
          <w:vertAlign w:val="superscript"/>
        </w:rPr>
        <w:t>13</w:t>
      </w:r>
      <w:r w:rsidRPr="003532DF">
        <w:t xml:space="preserve">C‐enriched than nitrogen‐poor particles, implying that these inventories were dominated by living cells and fresh detritus rather than laterally transported or extensively decomposed detritus. During heavy cruises, </w:t>
      </w:r>
      <w:r w:rsidRPr="003532DF">
        <w:rPr>
          <w:vertAlign w:val="superscript"/>
        </w:rPr>
        <w:t>13</w:t>
      </w:r>
      <w:r w:rsidRPr="003532DF">
        <w:t>C enrichments persisted to 1,300 m, providing the first evidence of downward transport of chemoautotrophically produced POC. Dissolved inorganic carbon assimilation during heavy cruises (</w:t>
      </w:r>
      <w:r w:rsidRPr="003532DF">
        <w:rPr>
          <w:i/>
        </w:rPr>
        <w:t>n</w:t>
      </w:r>
      <w:r w:rsidRPr="003532DF">
        <w:t xml:space="preserve"> = 3) was faster and occurred deeper than during light cruises (</w:t>
      </w:r>
      <w:r w:rsidRPr="003532DF">
        <w:rPr>
          <w:i/>
        </w:rPr>
        <w:t>n</w:t>
      </w:r>
      <w:r w:rsidRPr="003532DF">
        <w:t xml:space="preserve"> = 2). Metagenomics data from the chemoautotrophic layer during two cruises support prevalence of microorganisms carrying RuBisCO form II genes, which encode a carbon fixation enzyme that discriminates less against heavy isotopes than most other carbon fixation enzymes, and metatranscriptomics data indicate that higher expression of form II RuBisCO genes during the heavy cruises at depths where essential reactants coexist are responsible for the isotopically heavier POC.</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Selliez, L., Maillard, J., Cherville, B., Gautier, T., Thirkell, L., Gaubicher, B., Schmitz-Afonso, I., Afonso, C., Briois, C., Carrasco, N., </w:t>
      </w:r>
      <w:r w:rsidR="00616347">
        <w:t xml:space="preserve">2020. </w:t>
      </w:r>
      <w:r w:rsidRPr="003532DF">
        <w:t>High-resolution mass spectrometry for future space missions: Comparative analysis of complex organic matter with LAb-CosmOrbitrap and laser desorption/ionization Fourier transform ion cyclotron resonance. Rapid Communications in Mass Spectrometry 34, e8645.</w:t>
      </w:r>
    </w:p>
    <w:p w:rsidR="00DB42FE" w:rsidRPr="003532DF" w:rsidRDefault="00DB42FE" w:rsidP="00616347">
      <w:pPr>
        <w:pStyle w:val="EndNoteBibliography"/>
        <w:ind w:left="360"/>
      </w:pPr>
      <w:r w:rsidRPr="003532DF">
        <w:t>https://doi.org/10.1002/rcm.8645</w:t>
      </w:r>
    </w:p>
    <w:p w:rsidR="00DB42FE" w:rsidRPr="003532DF" w:rsidRDefault="00DB42FE" w:rsidP="00616347">
      <w:pPr>
        <w:pStyle w:val="EndNoteBibliography"/>
        <w:ind w:left="360"/>
      </w:pPr>
      <w:r w:rsidRPr="003532DF">
        <w:t>Rationale: Mass spectrometers are regularly boarded on spacecraft for the exploration of the Solar System. A better understanding of the origin, distribution and evolution of organic matter and its relationships with inorganic matter in different extra‐terrestrial environments requires the development of innovative space tools, described as Ultra‐High‐Resolution Mass Spectrometry (UHRMS) instruments.</w:t>
      </w:r>
    </w:p>
    <w:p w:rsidR="00DB42FE" w:rsidRPr="003532DF" w:rsidRDefault="00DB42FE" w:rsidP="00616347">
      <w:pPr>
        <w:pStyle w:val="EndNoteBibliography"/>
        <w:ind w:left="360"/>
      </w:pPr>
      <w:r w:rsidRPr="003532DF">
        <w:t xml:space="preserve">Methods: Analyses of a complex organic material simulating extraterrestrial matter (Titan's tholins) are performed with a homemade space‐designed Orbitrap™ equipped with a laser ablation ionization source at 266 nm: the LAb‐CosmOrbitrap. Mass spectra are obtained using only one laser shot and transient duration of 838 ms. A comparison is made on the same sample with a laboratory </w:t>
      </w:r>
      <w:r w:rsidRPr="003532DF">
        <w:lastRenderedPageBreak/>
        <w:t>benchmark mass spectrometer: a Fourier Transform Ion Cyclotron Resonance equipped with a laser desorption ionization source at 355 nm (LDI‐FTICR) allowing accumulation of 20,000 laser shots.</w:t>
      </w:r>
    </w:p>
    <w:p w:rsidR="00DB42FE" w:rsidRPr="003532DF" w:rsidRDefault="00DB42FE" w:rsidP="00616347">
      <w:pPr>
        <w:pStyle w:val="EndNoteBibliography"/>
        <w:ind w:left="360"/>
      </w:pPr>
      <w:r w:rsidRPr="003532DF">
        <w:t>Results: Mass spectra and attributions of molecular formulae based on the peaks detected by both techniques show significant similarities. Detection and identification of the same species are validated. The formation of clusters ions with the LAb‐CosmOrbitrap is also presented. This specific feature brings informative and unusual indirect detections about the chemical compounds constituting Titan's tholins. In particular, the detection of HCN confirms previous results obtained with laboratory Electrospray Ionization (ESI)‐UHRMS studies about the understanding of polymeric patterns for the formation of tholins.</w:t>
      </w:r>
    </w:p>
    <w:p w:rsidR="00DB42FE" w:rsidRPr="003532DF" w:rsidRDefault="00DB42FE" w:rsidP="00616347">
      <w:pPr>
        <w:pStyle w:val="EndNoteBibliography"/>
        <w:spacing w:after="0"/>
        <w:ind w:left="360"/>
      </w:pPr>
      <w:r w:rsidRPr="003532DF">
        <w:t>Conclusions: The capabilities of the LAb‐CosmOrbitrap to decipher complex organic mixtures using single laser shot and a short transient are highlighted. In agreement with results provided by a commercial FTICR instrument in the laboratory, we demonstrate in this work the relevance of a space laser‐CosmOrbitrap instrument for future planetary exploration.</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Selvaraj, G., Maulianda, B., Wee, S.C., Akhir, N.A.M., Elraies, K.A., Malakooti, R., Prakasan, A., </w:t>
      </w:r>
      <w:r w:rsidR="00616347">
        <w:t xml:space="preserve">2020. </w:t>
      </w:r>
      <w:r w:rsidRPr="003532DF">
        <w:t>Experimental study of nanoparticles as catalyst in enhancing matrix acidizing for carbonate reservoir. Journal of Petroleum Exploration and Production Technology 10, 1145-1153.</w:t>
      </w:r>
    </w:p>
    <w:p w:rsidR="00DB42FE" w:rsidRPr="003532DF" w:rsidRDefault="00DB42FE" w:rsidP="00616347">
      <w:pPr>
        <w:pStyle w:val="EndNoteBibliography"/>
        <w:ind w:left="360"/>
      </w:pPr>
      <w:r w:rsidRPr="003532DF">
        <w:t>https://doi.org/10.1007/s13202-019-0684-z</w:t>
      </w:r>
    </w:p>
    <w:p w:rsidR="00DB42FE" w:rsidRPr="003532DF" w:rsidRDefault="00DB42FE" w:rsidP="00616347">
      <w:pPr>
        <w:pStyle w:val="EndNoteBibliography"/>
        <w:spacing w:after="0"/>
        <w:ind w:left="360"/>
      </w:pPr>
      <w:r w:rsidRPr="003532DF">
        <w:t>Hydrochloric (HCl) acid is the most common stimulating fluid used in acidizing job due to its strong acidic property and low cost to create or enlarge existing wormhole within the reservoir. However, the HCl acid has rapid reaction with carbonate reservoir, and it is causing surface dissolution of the rock and lowering the penetration into the formation. Recent studies have shown the addition of nickel nanoparticles as catalyst to handle the problems in HCl acidizing. The nanoparticles are high-performance catalyst due to their high ratio of surface area to volume. The proposed method in this research is to mix the nanoparticles with the carbonate formation prior to the acid injection into the formation. The efficiency of the nanoparticles as catalyst depends on the thermodynamics property, which is surface energy of the materials used. The surface energy reduces as the size of particles become smaller. However, the effect of surface energy become insignificant on nanoparticles due to the small particles sizes, and the surface energy is based on the individual energy of the particles. Therefore, this research investigates the efficiency of silica, aluminum oxide, and zinc oxide besides nickel nanoparticles based on their thermodynamics property in accelerating the conversion of CO</w:t>
      </w:r>
      <w:r w:rsidRPr="003532DF">
        <w:rPr>
          <w:vertAlign w:val="subscript"/>
        </w:rPr>
        <w:t>2</w:t>
      </w:r>
      <w:r w:rsidRPr="003532DF">
        <w:t xml:space="preserve"> gas into carbonic acid. The approach consists of investigating the efficiency of nanoparticles in different concentrations of carbonate and mass of nanoparticles. Suitable nanoparticles are proposed based on efficiency and cost in retarding the HCl reactivity and rapid formation of in situ carbonic acid. The concentration of carbonic acid (H</w:t>
      </w:r>
      <w:r w:rsidRPr="003532DF">
        <w:rPr>
          <w:vertAlign w:val="subscript"/>
        </w:rPr>
        <w:t>2</w:t>
      </w:r>
      <w:r w:rsidRPr="003532DF">
        <w:t>CO</w:t>
      </w:r>
      <w:r w:rsidRPr="003532DF">
        <w:rPr>
          <w:vertAlign w:val="subscript"/>
        </w:rPr>
        <w:t>3</w:t>
      </w:r>
      <w:r w:rsidRPr="003532DF">
        <w:t>), bicarbonate ion (HCO</w:t>
      </w:r>
      <w:r w:rsidRPr="003532DF">
        <w:rPr>
          <w:vertAlign w:val="subscript"/>
        </w:rPr>
        <w:t>3</w:t>
      </w:r>
      <w:r w:rsidRPr="003532DF">
        <w:rPr>
          <w:vertAlign w:val="superscript"/>
        </w:rPr>
        <w:t>−</w:t>
      </w:r>
      <w:r w:rsidRPr="003532DF">
        <w:t>), and carbonate ion (CO</w:t>
      </w:r>
      <w:r w:rsidRPr="003532DF">
        <w:rPr>
          <w:vertAlign w:val="subscript"/>
        </w:rPr>
        <w:t>3</w:t>
      </w:r>
      <w:r w:rsidRPr="003532DF">
        <w:rPr>
          <w:vertAlign w:val="superscript"/>
        </w:rPr>
        <w:t>2−</w:t>
      </w:r>
      <w:r w:rsidRPr="003532DF">
        <w:t>) is analyzed based on Henry’s law of solubility. The result shows that the silica has the best efficiency as catalyst in 6700 ppm Na</w:t>
      </w:r>
      <w:r w:rsidRPr="003532DF">
        <w:rPr>
          <w:vertAlign w:val="subscript"/>
        </w:rPr>
        <w:t>2</w:t>
      </w:r>
      <w:r w:rsidRPr="003532DF">
        <w:t>CO</w:t>
      </w:r>
      <w:r w:rsidRPr="003532DF">
        <w:rPr>
          <w:vertAlign w:val="subscript"/>
        </w:rPr>
        <w:t>3</w:t>
      </w:r>
      <w:r w:rsidRPr="003532DF">
        <w:t xml:space="preserve"> solution due to its high stability and dispersion in aqueous solution. The silica engages into rapid dissociation of water molecules and bind with OH</w:t>
      </w:r>
      <w:r w:rsidRPr="003532DF">
        <w:rPr>
          <w:vertAlign w:val="superscript"/>
        </w:rPr>
        <w:t>−</w:t>
      </w:r>
      <w:r w:rsidRPr="003532DF">
        <w:t xml:space="preserve"> group to react with CO</w:t>
      </w:r>
      <w:r w:rsidRPr="003532DF">
        <w:rPr>
          <w:vertAlign w:val="subscript"/>
        </w:rPr>
        <w:t>2</w:t>
      </w:r>
      <w:r w:rsidRPr="003532DF">
        <w:t xml:space="preserve"> gas and form HCO</w:t>
      </w:r>
      <w:r w:rsidRPr="003532DF">
        <w:rPr>
          <w:vertAlign w:val="subscript"/>
        </w:rPr>
        <w:t>3</w:t>
      </w:r>
      <w:r w:rsidRPr="003532DF">
        <w:rPr>
          <w:vertAlign w:val="superscript"/>
        </w:rPr>
        <w:t>−</w:t>
      </w:r>
      <w:r w:rsidRPr="003532DF">
        <w:t>. The nanoparticles reduce the reactivity of HCl through conversion of bicarbonate ions. However, ZnO gives better efficiency in 17,000 ppm of Na</w:t>
      </w:r>
      <w:r w:rsidRPr="003532DF">
        <w:rPr>
          <w:vertAlign w:val="subscript"/>
        </w:rPr>
        <w:t>2</w:t>
      </w:r>
      <w:r w:rsidRPr="003532DF">
        <w:t>CO</w:t>
      </w:r>
      <w:r w:rsidRPr="003532DF">
        <w:rPr>
          <w:vertAlign w:val="subscript"/>
        </w:rPr>
        <w:t>3</w:t>
      </w:r>
      <w:r w:rsidRPr="003532DF">
        <w:t>. The efficiency of silica in this concentration increased at 0.7 g, proving the minimum amount required as catalyst. In contrast, ZnO and Al</w:t>
      </w:r>
      <w:r w:rsidRPr="003532DF">
        <w:rPr>
          <w:vertAlign w:val="subscript"/>
        </w:rPr>
        <w:t>2</w:t>
      </w:r>
      <w:r w:rsidRPr="003532DF">
        <w:t>O</w:t>
      </w:r>
      <w:r w:rsidRPr="003532DF">
        <w:rPr>
          <w:vertAlign w:val="subscript"/>
        </w:rPr>
        <w:t>3</w:t>
      </w:r>
      <w:r w:rsidRPr="003532DF">
        <w:t xml:space="preserve"> have lower efficiency as acid retarder since changes in pH values affect the performance of the nanoparticles. The surface charge demonstrated by ZnO and Al</w:t>
      </w:r>
      <w:r w:rsidRPr="003532DF">
        <w:rPr>
          <w:vertAlign w:val="subscript"/>
        </w:rPr>
        <w:t>2</w:t>
      </w:r>
      <w:r w:rsidRPr="003532DF">
        <w:t>O</w:t>
      </w:r>
      <w:r w:rsidRPr="003532DF">
        <w:rPr>
          <w:vertAlign w:val="subscript"/>
        </w:rPr>
        <w:t>3</w:t>
      </w:r>
      <w:r w:rsidRPr="003532DF">
        <w:t xml:space="preserve"> </w:t>
      </w:r>
      <w:r w:rsidRPr="003532DF">
        <w:lastRenderedPageBreak/>
        <w:t>depends on pH changes which makes these nanoparticles to perform inefficiently. The silica is chosen as the best catalyst due to high efficiency versus cost ratio.</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Semaw, S., Rogers, M.J., Simpson, S.W., Levin, N.E., Quade, J., Dunbar, N., McIntosh, W.C., Cáceres, I., Stinchcomb, G.E., Holloway, R.L., Brown, F.H., Butler, R.F., Stout, D., Everett, M., </w:t>
      </w:r>
      <w:r w:rsidR="00616347">
        <w:t xml:space="preserve">2020. </w:t>
      </w:r>
      <w:r w:rsidRPr="003532DF">
        <w:t xml:space="preserve">Co-occurrence of Acheulian and Oldowan artifacts with </w:t>
      </w:r>
      <w:r w:rsidRPr="003532DF">
        <w:rPr>
          <w:i/>
        </w:rPr>
        <w:t xml:space="preserve">Homo erectus </w:t>
      </w:r>
      <w:r w:rsidRPr="003532DF">
        <w:t>cranial fossils from Gona, Afar, Ethiopia. Science Advances 6, eaaw4694.</w:t>
      </w:r>
    </w:p>
    <w:p w:rsidR="00DB42FE" w:rsidRPr="003532DF" w:rsidRDefault="00DB42FE" w:rsidP="00616347">
      <w:pPr>
        <w:pStyle w:val="EndNoteBibliography"/>
        <w:ind w:left="360"/>
      </w:pPr>
      <w:r w:rsidRPr="003532DF">
        <w:t>http://advances.sciencemag.org/content/6/10/eaaw4694.abstract</w:t>
      </w:r>
    </w:p>
    <w:p w:rsidR="00DB42FE" w:rsidRPr="003532DF" w:rsidRDefault="00DB42FE" w:rsidP="00616347">
      <w:pPr>
        <w:pStyle w:val="EndNoteBibliography"/>
        <w:spacing w:after="0"/>
        <w:ind w:left="360"/>
      </w:pPr>
      <w:r w:rsidRPr="003532DF">
        <w:t xml:space="preserve">Although stone tools generally co-occur with early members of the genus </w:t>
      </w:r>
      <w:r w:rsidRPr="003532DF">
        <w:rPr>
          <w:i/>
        </w:rPr>
        <w:t>Homo</w:t>
      </w:r>
      <w:r w:rsidRPr="003532DF">
        <w:t xml:space="preserve">, they are rarely found in direct association with hominins. We report that both Acheulian and Oldowan artifacts and </w:t>
      </w:r>
      <w:r w:rsidRPr="003532DF">
        <w:rPr>
          <w:i/>
        </w:rPr>
        <w:t>Homo erectus</w:t>
      </w:r>
      <w:r w:rsidRPr="003532DF">
        <w:t xml:space="preserve"> crania were found in close association at 1.26 million years (Ma) ago at Busidima North (BSN12), and ca. 1.6 to 1.5 Ma ago at Dana Aoule North (DAN5) archaeological sites at Gona, Afar, Ethiopia. The BSN12 partial cranium is robust and large, while the DAN5 cranium is smaller and more gracile, suggesting that </w:t>
      </w:r>
      <w:r w:rsidRPr="003532DF">
        <w:rPr>
          <w:i/>
        </w:rPr>
        <w:t>H. erectus</w:t>
      </w:r>
      <w:r w:rsidRPr="003532DF">
        <w:t xml:space="preserve"> was probably a sexually dimorphic species. The evidence from Gona shows behavioral diversity and flexibility with a lengthy and concurrent use of both stone technologies by </w:t>
      </w:r>
      <w:r w:rsidRPr="003532DF">
        <w:rPr>
          <w:i/>
        </w:rPr>
        <w:t>H. erectus</w:t>
      </w:r>
      <w:r w:rsidRPr="003532DF">
        <w:t xml:space="preserve">, confounding a simple “single species/single technology” view of early </w:t>
      </w:r>
      <w:r w:rsidRPr="003532DF">
        <w:rPr>
          <w:i/>
        </w:rPr>
        <w:t>Homo</w:t>
      </w:r>
      <w:r w:rsidRPr="003532DF">
        <w:t>.</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Serovaiskii, A., Kutcherov, V., </w:t>
      </w:r>
      <w:r w:rsidR="00616347">
        <w:t xml:space="preserve">2020. </w:t>
      </w:r>
      <w:r w:rsidRPr="003532DF">
        <w:t>Formation of complex hydrocarbon systems from methane at the upper mantle thermobaric conditions. Scientific Reports 10, 4559.</w:t>
      </w:r>
    </w:p>
    <w:p w:rsidR="00DB42FE" w:rsidRPr="003532DF" w:rsidRDefault="00DB42FE" w:rsidP="00616347">
      <w:pPr>
        <w:pStyle w:val="EndNoteBibliography"/>
        <w:ind w:left="360"/>
      </w:pPr>
      <w:r w:rsidRPr="003532DF">
        <w:t>https://doi.org/10.1038/s41598-020-61644-5</w:t>
      </w:r>
    </w:p>
    <w:p w:rsidR="00DB42FE" w:rsidRPr="003532DF" w:rsidRDefault="00DB42FE" w:rsidP="00616347">
      <w:pPr>
        <w:pStyle w:val="EndNoteBibliography"/>
        <w:spacing w:after="0"/>
        <w:ind w:left="360"/>
      </w:pPr>
      <w:r w:rsidRPr="003532DF">
        <w:t>The existence of methane in the Earth’s mantle does not cause any doubt, however, its possible chemical transformation under the mantle thermobaric conditions is not enough known. Investigation of methane at the upper mantle thermobaric conditions, using diamond anvil cells, demonstrated the possible formation of ethane, propane and n-butane from methane, however, theoretical calculations of methane behaviour at extreme temperature and pressure predicted also heavier hydrocarbons. We experimentally investigated the chemical transformations of methane at the upper mantle thermobaric conditions, corresponding to the depth of 70–80 km (850–1000 K, 2.5 GPa), using “Toroid”-type Large reactive volume device and gas chromatography. The experimental results demonstrated the formation of the complex hydrocarbon mixture up to C</w:t>
      </w:r>
      <w:r w:rsidRPr="003532DF">
        <w:rPr>
          <w:vertAlign w:val="subscript"/>
        </w:rPr>
        <w:t>7</w:t>
      </w:r>
      <w:r w:rsidRPr="003532DF">
        <w:t xml:space="preserve"> with linear, branched and cycled structures and benzene. Unsaturated hydrocarbons were detected on the trace level in the products mixture. The increasing of exposure time leaded to growth of heavier components in the product systems. The data obtained suggest possible existence of complex hydrocarbon mixtures at the upper mantle thermobaric conditions and provide a new insight on the possible pathways of the hydrocarbons synthesis from methane in the upper mantle.</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Shahbeig, H., Nosrati, M., </w:t>
      </w:r>
      <w:r w:rsidR="00616347">
        <w:t xml:space="preserve">2020. </w:t>
      </w:r>
      <w:r w:rsidRPr="003532DF">
        <w:t>Pyrolysis of biological wastes for bioenergy production: Thermo-kinetic studies with machine-learning method and Py-GC/MS analysis. Fuel 269, 117238.</w:t>
      </w:r>
    </w:p>
    <w:p w:rsidR="00DB42FE" w:rsidRPr="003532DF" w:rsidRDefault="00DB42FE" w:rsidP="00616347">
      <w:pPr>
        <w:pStyle w:val="EndNoteBibliography"/>
        <w:ind w:left="360"/>
      </w:pPr>
      <w:r w:rsidRPr="003532DF">
        <w:t>http://www.sciencedirect.com/science/article/pii/S0016236120302337</w:t>
      </w:r>
    </w:p>
    <w:p w:rsidR="00DB42FE" w:rsidRPr="003532DF" w:rsidRDefault="00DB42FE" w:rsidP="00616347">
      <w:pPr>
        <w:pStyle w:val="EndNoteBibliography"/>
        <w:spacing w:after="0"/>
        <w:ind w:left="360"/>
      </w:pPr>
      <w:r w:rsidRPr="003532DF">
        <w:t xml:space="preserve">This present study aimed to evaluate the bioenergy potential of abundant biological waste generated in the process of producing bio-product via pyrolysis for the first time. These bio-wastes </w:t>
      </w:r>
      <w:r w:rsidRPr="003532DF">
        <w:lastRenderedPageBreak/>
        <w:t>were selected from the effluents in the ethanol, butanol, acetic acid and lactic acid production plants which mostly included bacterial biomass (BB). We used FTIR spectroscopy for the simultaneous, qualitative analysis of bio-macromolecular components and specific functional groups in BB such as proteins (1700–1500 cm</w:t>
      </w:r>
      <w:r w:rsidRPr="003532DF">
        <w:rPr>
          <w:vertAlign w:val="superscript"/>
        </w:rPr>
        <w:t>−1</w:t>
      </w:r>
      <w:r w:rsidRPr="003532DF">
        <w:t>), lipids (3000–2800 cm</w:t>
      </w:r>
      <w:r w:rsidRPr="003532DF">
        <w:rPr>
          <w:vertAlign w:val="superscript"/>
        </w:rPr>
        <w:t>−1</w:t>
      </w:r>
      <w:r w:rsidRPr="003532DF">
        <w:t>), and carbohydrates (1200–900 cm</w:t>
      </w:r>
      <w:r w:rsidRPr="003532DF">
        <w:rPr>
          <w:vertAlign w:val="superscript"/>
        </w:rPr>
        <w:t>−1</w:t>
      </w:r>
      <w:r w:rsidRPr="003532DF">
        <w:t xml:space="preserve">). The pyrolytic behavior of the BB has been studied using thermogravimetric analysis (TGA). The thermo-kinetic studies were conducted using </w:t>
      </w:r>
      <w:r w:rsidRPr="003532DF">
        <w:rPr>
          <w:i/>
        </w:rPr>
        <w:t>iso</w:t>
      </w:r>
      <w:r w:rsidRPr="003532DF">
        <w:t>-conversional methods such as Kissinger-Akahira-Sunose (KAS) and Ozawa-Flynn-Wall (OFW). The activation energy (average: 85.22–175.93 kJ/mol), Gibb’s free energy (average: 171.76–175.56 kJ/mol), and the calculated high heating value (HHV) ranged from 16.98±0.02 to 17.37±0.02 MJ/kg, showed the remarkable bioenergy potential of the selected feedstock. Lower difference between the activation energy and enthalpy change of reaction (~5 kJ/mol) declared that the product formation is favorable during pyrolysis. Principal component analysis (PCA) was applied as a statistical method to reduce the dimensionality of differential thermogravimetric (DTG) data and to identify the principal reactions. Pyrolysis–Gas Chromatography/Mass Spectroscopy (Py-GC/MS) at 500 °C, was further employed to characterize the potential chemical products, indicating the presence of a range of aromatic, aliphatic, and nitrogen-containing compounds. The comparative study of the results, predicted from support vector regression (SVR-based) model with the experimental data, showed satisfactory agreements (R</w:t>
      </w:r>
      <w:r w:rsidRPr="003532DF">
        <w:rPr>
          <w:vertAlign w:val="superscript"/>
        </w:rPr>
        <w:t>2</w:t>
      </w:r>
      <w:r w:rsidRPr="003532DF">
        <w:t xml:space="preserve"> &gt; 0.9999) and accurate results.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Shahebrahimi, Y., Fazlali, A., Motamedi, H., Kord, S., Mohammadi, A.H., </w:t>
      </w:r>
      <w:r w:rsidR="00616347">
        <w:t xml:space="preserve">2020. </w:t>
      </w:r>
      <w:r w:rsidRPr="003532DF">
        <w:t>Effect of various isolated microbial consortiums on the biodegradation process of precipitated asphaltenes from crude oil. ACS Omega 5, 3131-3143.</w:t>
      </w:r>
    </w:p>
    <w:p w:rsidR="00DB42FE" w:rsidRPr="003532DF" w:rsidRDefault="00DB42FE" w:rsidP="00616347">
      <w:pPr>
        <w:pStyle w:val="EndNoteBibliography"/>
        <w:ind w:left="360"/>
      </w:pPr>
      <w:r w:rsidRPr="003532DF">
        <w:t>https://doi.org/10.1021/acsomega.9b02056</w:t>
      </w:r>
    </w:p>
    <w:p w:rsidR="00DB42FE" w:rsidRPr="003532DF" w:rsidRDefault="00DB42FE" w:rsidP="00616347">
      <w:pPr>
        <w:pStyle w:val="EndNoteBibliography"/>
        <w:spacing w:after="0"/>
        <w:ind w:left="360"/>
      </w:pPr>
      <w:r w:rsidRPr="003532DF">
        <w:t xml:space="preserve">One of the serious problems in the oil industry is precipitation and deposition of asphaltenes in the different oil production stages including formation, wellbore, production tubing, flow lines, and separation units. This phenomenon causes a dramatic increase in the cost of oil production, processing, and transferring. Thus, it seems to be very necessary to use the removing methods for precipitated asphaltenes in different crude oil production and transferring stages. In this study, the ability of microorganisms for biodegradation of precipitated asphaltenes was investigated. For this purpose, four bacterial consortiums were isolated from oil-contaminated soil, crude oil, reservoir water, and oil sludge samples of an oil field located in the southwest of Iran. Based on the results of the designed experiments, by using response surface methodology (RSM) and central composite design, the bacterial consortiums were cultured in the flasks. Three levels of temperatures, salinity, pH, and initial asphaltene concentration as the substrate were considered as the parameters of culture medium and incubated growth mediums for 60 days. The maximum asphaltene biodegradation was 46.41% caused by the crude oil consortium including </w:t>
      </w:r>
      <w:r w:rsidRPr="003532DF">
        <w:rPr>
          <w:i/>
        </w:rPr>
        <w:t>Staphylococcus saprophyticus</w:t>
      </w:r>
      <w:r w:rsidRPr="003532DF">
        <w:t xml:space="preserve"> sp. and </w:t>
      </w:r>
      <w:r w:rsidRPr="003532DF">
        <w:rPr>
          <w:i/>
        </w:rPr>
        <w:t>Bacillus cereus</w:t>
      </w:r>
      <w:r w:rsidRPr="003532DF">
        <w:t xml:space="preserve"> sp. at 45 °C, salinity 160 g·L</w:t>
      </w:r>
      <w:r w:rsidRPr="003532DF">
        <w:rPr>
          <w:vertAlign w:val="superscript"/>
        </w:rPr>
        <w:t>–1</w:t>
      </w:r>
      <w:r w:rsidRPr="003532DF">
        <w:t>, pH 6.5, and 25 g·L</w:t>
      </w:r>
      <w:r w:rsidRPr="003532DF">
        <w:rPr>
          <w:vertAlign w:val="superscript"/>
        </w:rPr>
        <w:t>–1</w:t>
      </w:r>
      <w:r w:rsidRPr="003532DF">
        <w:t xml:space="preserve"> initial asphaltene concentration. Also, it was observed that the negative or positive impacts of culture media conditions such as temperature and salinity on asphaltene degradation depended on the type of the available bacterial consortium. The carbon–hydrogen–nitrogen–sulfur analysis showed that carbon, hydrogen, nitrogen, and in some cases, the sulfur in biodegraded samples are less than in control samples. Moreover, Fourier transform infrared analysis indicated that the alkyne groups were less resistant to biodegradation and were eliminated thoroughly after 2 months of incubation. In addition, alkane components were partially removed in treated asphaltene fraction. The parameters of culture medium were optimized by RSM, and besides, their effects on the performance of bacteria in the asphaltene biodegradation process were discussed. The validity of </w:t>
      </w:r>
      <w:r w:rsidRPr="003532DF">
        <w:lastRenderedPageBreak/>
        <w:t>some available kinetic models to describe the behavior of the studied bacteria consortium was investigated, and it was observed that Tessier, Moser, and Contois models accurately predict the values of asphaltenes and biomass concentration at 30, 45, and 60 °C, respectively.</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Shahsavar, N., Riazi, M., Malayeri, M.R., </w:t>
      </w:r>
      <w:r w:rsidR="00616347">
        <w:t xml:space="preserve">2020. </w:t>
      </w:r>
      <w:r w:rsidRPr="003532DF">
        <w:t>Removal of asphaltene deposition in porous media using emulsified solvents - A visual study. Journal of Petroleum Science and Engineering 191, 107207.</w:t>
      </w:r>
    </w:p>
    <w:p w:rsidR="00DB42FE" w:rsidRPr="003532DF" w:rsidRDefault="00DB42FE" w:rsidP="00616347">
      <w:pPr>
        <w:pStyle w:val="EndNoteBibliography"/>
        <w:ind w:left="360"/>
      </w:pPr>
      <w:r w:rsidRPr="003532DF">
        <w:t>http://www.sciencedirect.com/science/article/pii/S092041052030293X</w:t>
      </w:r>
    </w:p>
    <w:p w:rsidR="00DB42FE" w:rsidRPr="003532DF" w:rsidRDefault="00DB42FE" w:rsidP="00616347">
      <w:pPr>
        <w:pStyle w:val="EndNoteBibliography"/>
        <w:spacing w:after="0"/>
        <w:ind w:left="360"/>
      </w:pPr>
      <w:r w:rsidRPr="003532DF">
        <w:t>Asphaltene deposition may cause profound formation damages in oil reservoirs. Solvents of various types can be used to remove asphaltene deposition though they are expensive and prone to safety hazards and detrimental environmental consequences. In this study, emulsified solvents (i.e. toluene/water emulsions) were investigated as an alternative approach for the removal of asphaltene deposition in porous media. Three different emulsions (90/10, 80/20, 70/30 vol percentages of water in oil emulsions) were prepared and injected at two injection rates of 0.1 and 1.0 cc/hr into a transparent heterogeneous micromodel containing deposited asphaltene to evaluate their ability to either dislodge or dissolve asphaltene deposition and also to compare their performance with the use of pure toluene in both microscopic and macroscopic scales. The results showed that all of the investigated emulsions were able to remove, to some extent, the deposited asphaltene despite having a lower volume fraction of toluene. Furthermore, emulsions swept the whole area of porous media, but toluene left more than half the area of micromodel un-swept. Emulsion 70/30 (w/o) was found to be the optimum solvent as it removed all of the deposited asphaltenes at lower injected pore volumes. It was also found that the deposited asphaltene was removed with injecting lower pore volume of solvents, which was due to higher toluene penetration into deposition as the emulsified solvent flowed slower in the micromodel.</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Shaw, T.J., Boucher, C., Huffard, C.L., Smith, K.L., </w:t>
      </w:r>
      <w:r w:rsidR="00616347">
        <w:t xml:space="preserve">2020. </w:t>
      </w:r>
      <w:r w:rsidRPr="003532DF">
        <w:t>Model study of organic carbon attenuation and oxygen mass transfer in persistent aggregate layers in the deep sea. Deep Sea Research Part II: Topical Studies in Oceanography 173, 104760.</w:t>
      </w:r>
    </w:p>
    <w:p w:rsidR="00DB42FE" w:rsidRPr="003532DF" w:rsidRDefault="00DB42FE" w:rsidP="00616347">
      <w:pPr>
        <w:pStyle w:val="EndNoteBibliography"/>
        <w:ind w:left="360"/>
      </w:pPr>
      <w:r w:rsidRPr="003532DF">
        <w:t>http://www.sciencedirect.com/science/article/pii/S0967064519302875</w:t>
      </w:r>
    </w:p>
    <w:p w:rsidR="00DB42FE" w:rsidRPr="003532DF" w:rsidRDefault="00DB42FE" w:rsidP="00616347">
      <w:pPr>
        <w:pStyle w:val="EndNoteBibliography"/>
        <w:ind w:left="360"/>
      </w:pPr>
      <w:r w:rsidRPr="003532DF">
        <w:t xml:space="preserve">A time series study from 1989 to 2017 indicates that, increasingly, carbon export to abyssal sediments in the California Current Ecosystem (CCE), 220 km west of the central California coast (Sta. M), occurs as rapidly sinking pulses of particulate organic carbon (POC). Nearly continuous sediment trap collections confirm that POC export to 3400 m increased significantly after 2011 with carbon attenuation (as fraction of POC remineralized) ranging from a low of 57% to a high of 77% during periods of pulsed flux. All of the major pulse events for the period resulted in the delivery of detrital aggregates that covered part or all of the sediment surface as an organic carbon rich layer at ~4000 m depth. However, the magnitude of the measured Sediment Community Oxygen Consumption (SCOC) did not increase proportionally to the organic carbon inventory change. Here, a model of oxygen consumption, informed by the time series data at Sta. M in the CCE, suggests that aggregate flocs constitute a major source for benthic carbon and a barrier to mass transport of oxygen, leading to reduced carbon attenuation in surface sediments. The correlation of POC delivery with aggregate coverage shows that the majority of POC delivery during pulse events is likely to consume all of the oxygen within the aggregates. Results indicate that an increasing fraction of POC </w:t>
      </w:r>
      <w:r w:rsidRPr="003532DF">
        <w:lastRenderedPageBreak/>
        <w:t>reaches the abyssal sediments at Sta. M under conditions that support increased net burial of carbon.</w:t>
      </w:r>
    </w:p>
    <w:p w:rsidR="00DB42FE" w:rsidRPr="003532DF" w:rsidRDefault="00DB42FE" w:rsidP="00616347">
      <w:pPr>
        <w:pStyle w:val="EndNoteBibliography"/>
        <w:spacing w:after="0"/>
        <w:ind w:left="360"/>
      </w:pPr>
      <w:r w:rsidRPr="003532DF">
        <w:t>This finding is significant in the context of the fraction of the total POC flux that occurs as pulse events in this important upwelling region. During the period from 2011 to 2017, a third of the total POC flux resulted in aggregate flocs that covered a significant portion of the sediment surface (&gt;47%). Following the 2015–2016 El Nino period the flocs became a dominant feature of the sediment surface. More than 80% of the POC flux to near bottom sediment traps in 2017 occurred coincident with aggregate floc cover of more than 90% of the sediments. The resultant physical barrier to oxygen transport and relatively low consumption of newly delivered carbon indicate conditions that are more typical of environments having low oxygen bottom waters.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Shen, P., Li, G., Li, B., Li, X., </w:t>
      </w:r>
      <w:r w:rsidR="00616347">
        <w:t xml:space="preserve">2020. </w:t>
      </w:r>
      <w:r w:rsidRPr="003532DF">
        <w:t>Coupling effect of porosity and hydrate saturation on the permeability of methane hydrate-bearing sediments. Fuel 269, 117425.</w:t>
      </w:r>
    </w:p>
    <w:p w:rsidR="00DB42FE" w:rsidRPr="003532DF" w:rsidRDefault="00DB42FE" w:rsidP="00616347">
      <w:pPr>
        <w:pStyle w:val="EndNoteBibliography"/>
        <w:ind w:left="360"/>
      </w:pPr>
      <w:r w:rsidRPr="003532DF">
        <w:t>http://www.sciencedirect.com/science/article/pii/S0016236120304208</w:t>
      </w:r>
    </w:p>
    <w:p w:rsidR="00DB42FE" w:rsidRPr="003532DF" w:rsidRDefault="00DB42FE" w:rsidP="00616347">
      <w:pPr>
        <w:pStyle w:val="EndNoteBibliography"/>
        <w:spacing w:after="0"/>
        <w:ind w:left="360"/>
      </w:pPr>
      <w:r w:rsidRPr="003532DF">
        <w:t>The water effective permeability (</w:t>
      </w:r>
      <w:r w:rsidRPr="003532DF">
        <w:rPr>
          <w:i/>
        </w:rPr>
        <w:t>k</w:t>
      </w:r>
      <w:r w:rsidRPr="003532DF">
        <w:rPr>
          <w:vertAlign w:val="subscript"/>
        </w:rPr>
        <w:t>w</w:t>
      </w:r>
      <w:r w:rsidRPr="003532DF">
        <w:t>) of the methane hydrate-bearing sediments is a key parameter in the investigation of natural gas exploitation, and it is closely related to hydrate saturation (</w:t>
      </w:r>
      <w:r w:rsidRPr="003532DF">
        <w:rPr>
          <w:i/>
        </w:rPr>
        <w:t>S</w:t>
      </w:r>
      <w:r w:rsidRPr="003532DF">
        <w:rPr>
          <w:vertAlign w:val="subscript"/>
        </w:rPr>
        <w:t>H</w:t>
      </w:r>
      <w:r w:rsidRPr="003532DF">
        <w:t xml:space="preserve">) and the initial porosity of sediments. In this work, the effect of </w:t>
      </w:r>
      <w:r w:rsidRPr="003532DF">
        <w:rPr>
          <w:i/>
        </w:rPr>
        <w:t>S</w:t>
      </w:r>
      <w:r w:rsidRPr="003532DF">
        <w:rPr>
          <w:vertAlign w:val="subscript"/>
        </w:rPr>
        <w:t>H</w:t>
      </w:r>
      <w:r w:rsidRPr="003532DF">
        <w:t xml:space="preserve"> on the </w:t>
      </w:r>
      <w:r w:rsidRPr="003532DF">
        <w:rPr>
          <w:i/>
        </w:rPr>
        <w:t>k</w:t>
      </w:r>
      <w:r w:rsidRPr="003532DF">
        <w:rPr>
          <w:vertAlign w:val="subscript"/>
        </w:rPr>
        <w:t>w</w:t>
      </w:r>
      <w:r w:rsidRPr="003532DF">
        <w:t xml:space="preserve"> were systematically investigated in different initial porosities of fine quartz sands. The results show that the initial porosity of sediments has significant influence on the </w:t>
      </w:r>
      <w:r w:rsidRPr="003532DF">
        <w:rPr>
          <w:i/>
        </w:rPr>
        <w:t>k</w:t>
      </w:r>
      <w:r w:rsidRPr="003532DF">
        <w:rPr>
          <w:vertAlign w:val="subscript"/>
        </w:rPr>
        <w:t>w</w:t>
      </w:r>
      <w:r w:rsidRPr="003532DF">
        <w:t xml:space="preserve"> of the sediments with and without methane hydrates, and the hindrance of methane hydrates was more pronounced in the sediments with higher initial porosity. The stability and decomposition process of hydrates in this study could be clearly measured by the differential pressure of the sediments, and the stability of hydrates during the permeability measurement was more than 3 h, which was new record in permeability measurement. Finally, a new reduction empirical model on the basis of simple cubic model and oblique cubic model was integrated, and the effect of initial porosity of sediments on water relative permeability could be eliminated. This model could provide a more accurate prediction of the permeability of hydrate reservoirs with the porosity variation of the sediment.</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Sheng, G., Su, Y., Zhao, H., Liu, J., </w:t>
      </w:r>
      <w:r w:rsidR="00616347">
        <w:t xml:space="preserve">2020. </w:t>
      </w:r>
      <w:r w:rsidRPr="003532DF">
        <w:t>A unified apparent porosity/permeability model of organic porous media: Coupling complex pore structure and multi-migration mechanism. Advances in Geo-Energy Research 4, 115-125.</w:t>
      </w:r>
    </w:p>
    <w:p w:rsidR="00DB42FE" w:rsidRPr="003532DF" w:rsidRDefault="00DB42FE" w:rsidP="00616347">
      <w:pPr>
        <w:pStyle w:val="EndNoteBibliography"/>
        <w:ind w:left="360"/>
      </w:pPr>
      <w:r w:rsidRPr="003532DF">
        <w:t>http://www.astp-agr.com/index.php/Index/Index/detail?id=148</w:t>
      </w:r>
    </w:p>
    <w:p w:rsidR="00DB42FE" w:rsidRPr="003532DF" w:rsidRDefault="00DB42FE" w:rsidP="00616347">
      <w:pPr>
        <w:pStyle w:val="EndNoteBibliography"/>
        <w:spacing w:after="0"/>
        <w:ind w:left="360"/>
      </w:pPr>
      <w:r w:rsidRPr="003532DF">
        <w:t xml:space="preserve">Shale gas resources are widely distributed and abundant in China, which is an important field for strategic replacement and development of oil and gas resources. Shale gas reservoirs has adsorption gas, free gas. The structure of different scale media, such as organic pores, are difficult to describe. Therefore, flow behavior cannot be simulated by conventional method. In this paper, the micro-scale fluid migration in shale gas reservoirs was established in a single pore, which coupled surface diffusion, slip flow, and viscous flow. On this basis, the fractal scale relationship was applied to describe the distribution of pore radius, tortuosity, and surface roughness. Based on the comprehensive characterization of static structure haracteristics of porous media, such as pore size distribution, pore shapes, tortuosity and surface roughness, and the dynamic pore size influenced by various stresses, the apparent porosity/permeability model of organic matter considering single-phase multi-migration mechanism was established. The gas migration in organic porous media was </w:t>
      </w:r>
      <w:r w:rsidRPr="003532DF">
        <w:lastRenderedPageBreak/>
        <w:t>analyzed with the apparent porosity/permeability model. The results show that the small pores in organic matter are the main storage space of gas (more than 95% of the gas is stored in pores less than 10 nm), and the large pores are gas flow channel. At the same time, the apparent porosity/permeability model combined with conventional Darcy equation can be used to describe the single-phase gas flow in shale gas reservoirs.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Shi, T., Wu, G., Li, R., </w:t>
      </w:r>
      <w:r w:rsidR="00616347">
        <w:t xml:space="preserve">2020. </w:t>
      </w:r>
      <w:r w:rsidRPr="003532DF">
        <w:t>Structures of siliceous hot spring deposits and mechanism of microbial mineralization and diagenesis. Acta Sedimentologica Sinica 38, 113-123 http://www.cjxb.ac.cn/EN/abstract/abstract4076.shtml</w:t>
      </w:r>
    </w:p>
    <w:p w:rsidR="00DB42FE" w:rsidRPr="003532DF" w:rsidRDefault="00DB42FE" w:rsidP="00616347">
      <w:pPr>
        <w:pStyle w:val="EndNoteBibliography"/>
        <w:spacing w:after="0"/>
        <w:ind w:left="360"/>
      </w:pPr>
      <w:r w:rsidRPr="003532DF">
        <w:t>Hot springs are examples of continuous deposition in extreme environments,thus exploring the mineralization of hot spring microbes helps in understanding the Earth's ancient environment. Modern siliceous sinter is formed by both biological and non-biological interaction:the main mineral is Opal-A,with spicule,column and cluster etc. sedimentary structures. Petrographic studies of modern siliceous sinter are a good foundation for the study of the microbial mineralization process. In addition,it is significant for such studies to know more about the microbial mineralization process and the dissolution and re-deposition processes of opal diagenesis. At present,the study of microbial mineralization processes is flourishing. Specifically,microbially induced mineralization and microbially controlled mineralization are the two major mineralization processes,but there are many microbial mineralization mechanisms yet to be discovered. Therefore,examining mineralization by hot spring microbes is highly significant for strengthening our understanding of the formation and transformation of hot spring deposits.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Shimomura, T., Yonekawa, Y., Nagura, H., Tateyama, M., Fujiyoshi, Y., Irie, K., </w:t>
      </w:r>
      <w:r w:rsidR="00616347">
        <w:t xml:space="preserve">2020. </w:t>
      </w:r>
      <w:r w:rsidRPr="003532DF">
        <w:t>A native prokaryotic voltage-dependent calcium channel with a novel selectivity filter sequence. eLife 9, e52828.</w:t>
      </w:r>
    </w:p>
    <w:p w:rsidR="00DB42FE" w:rsidRPr="003532DF" w:rsidRDefault="00DB42FE" w:rsidP="00616347">
      <w:pPr>
        <w:pStyle w:val="EndNoteBibliography"/>
        <w:ind w:left="360"/>
      </w:pPr>
      <w:r w:rsidRPr="003532DF">
        <w:t>https://doi.org/10.7554/eLife.52828</w:t>
      </w:r>
    </w:p>
    <w:p w:rsidR="00DB42FE" w:rsidRPr="003532DF" w:rsidRDefault="00DB42FE" w:rsidP="00616347">
      <w:pPr>
        <w:pStyle w:val="EndNoteBibliography"/>
        <w:spacing w:after="0"/>
        <w:ind w:left="360"/>
      </w:pPr>
      <w:r w:rsidRPr="003532DF">
        <w:t>Voltage-dependent Ca</w:t>
      </w:r>
      <w:r w:rsidRPr="003532DF">
        <w:rPr>
          <w:vertAlign w:val="superscript"/>
        </w:rPr>
        <w:t>2+</w:t>
      </w:r>
      <w:r w:rsidRPr="003532DF">
        <w:t xml:space="preserve"> channels (Cavs) are indispensable for coupling action potentials with Ca</w:t>
      </w:r>
      <w:r w:rsidRPr="003532DF">
        <w:rPr>
          <w:vertAlign w:val="superscript"/>
        </w:rPr>
        <w:t>2+</w:t>
      </w:r>
      <w:r w:rsidRPr="003532DF">
        <w:t xml:space="preserve"> signaling in living organisms. The structure of Cavs is similar to that of voltage-dependent Na</w:t>
      </w:r>
      <w:r w:rsidRPr="003532DF">
        <w:rPr>
          <w:vertAlign w:val="superscript"/>
        </w:rPr>
        <w:t>+</w:t>
      </w:r>
      <w:r w:rsidRPr="003532DF">
        <w:t xml:space="preserve"> channels (Navs). It is known that prokaryotic Navs can obtain Ca</w:t>
      </w:r>
      <w:r w:rsidRPr="003532DF">
        <w:rPr>
          <w:vertAlign w:val="superscript"/>
        </w:rPr>
        <w:t>2+</w:t>
      </w:r>
      <w:r w:rsidRPr="003532DF">
        <w:t xml:space="preserve"> selectivity by negative charge mutations of the selectivity filter, but native prokaryotic Cavs had not yet been identified. We report the first identification of a native prokaryotic Cav, CavMr, whose selectivity filter contains a smaller number of negatively charged residues than that of artificial prokaryotic Cavs. A relative mutant whose selectivity filter was replaced with that of CavMr exhibits high Ca</w:t>
      </w:r>
      <w:r w:rsidRPr="003532DF">
        <w:rPr>
          <w:vertAlign w:val="superscript"/>
        </w:rPr>
        <w:t>2+</w:t>
      </w:r>
      <w:r w:rsidRPr="003532DF">
        <w:t xml:space="preserve"> selectivity. Mutational analyses revealed that the glycine residue of the CavMr selectivity filter is a determinant for Ca</w:t>
      </w:r>
      <w:r w:rsidRPr="003532DF">
        <w:rPr>
          <w:vertAlign w:val="superscript"/>
        </w:rPr>
        <w:t>2+</w:t>
      </w:r>
      <w:r w:rsidRPr="003532DF">
        <w:t xml:space="preserve"> selectivity. This glycine residue is well conserved among subdomains I and III of eukaryotic Cavs. These findings provide new insight into the Ca</w:t>
      </w:r>
      <w:r w:rsidRPr="003532DF">
        <w:rPr>
          <w:vertAlign w:val="superscript"/>
        </w:rPr>
        <w:t>2+</w:t>
      </w:r>
      <w:r w:rsidRPr="003532DF">
        <w:t xml:space="preserve"> selectivity mechanism that is conserved from prokaryotes to eukaryotes.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Sierra, A., Jiménez-López, D., Ortega, T., Fernández-Puga, M.C., Delgado-Huertas, A., Forja, J., </w:t>
      </w:r>
      <w:r w:rsidR="00616347">
        <w:t xml:space="preserve">2020. </w:t>
      </w:r>
      <w:r w:rsidRPr="003532DF">
        <w:t>Methane dynamics in the coastal – Continental shelf transition zone of the Gulf of Cadiz. Estuarine, Coastal and Shelf Science 236, 106653.</w:t>
      </w:r>
    </w:p>
    <w:p w:rsidR="00DB42FE" w:rsidRPr="003532DF" w:rsidRDefault="00DB42FE" w:rsidP="00616347">
      <w:pPr>
        <w:pStyle w:val="EndNoteBibliography"/>
        <w:ind w:left="360"/>
      </w:pPr>
      <w:r w:rsidRPr="003532DF">
        <w:t>http://www.sciencedirect.com/science/article/pii/S0272771419309916</w:t>
      </w:r>
    </w:p>
    <w:p w:rsidR="00DB42FE" w:rsidRPr="003532DF" w:rsidRDefault="00DB42FE" w:rsidP="00616347">
      <w:pPr>
        <w:pStyle w:val="EndNoteBibliography"/>
        <w:spacing w:after="0"/>
        <w:ind w:left="360"/>
      </w:pPr>
      <w:r w:rsidRPr="003532DF">
        <w:lastRenderedPageBreak/>
        <w:t>The concentration of CH</w:t>
      </w:r>
      <w:r w:rsidRPr="003532DF">
        <w:rPr>
          <w:vertAlign w:val="subscript"/>
        </w:rPr>
        <w:t>4</w:t>
      </w:r>
      <w:r w:rsidRPr="003532DF">
        <w:t xml:space="preserve"> in water was measured along five transects in the Gulf of Cadiz (Trafalgar, Sancti Petri, Guadalquivir, Tinto - Odiel and Guadiana) during four cruises throughout the months of March, June, September and December 2016. For two of the cruises water overlying three mud volcanoes situated in the Gulf of Cadiz were also sampled (San Petersburgo, 860 m; Pipoca, 460 m; and Anastasya, 500 m. In addition, the stable carbon isotopic compositions of dissolved CH</w:t>
      </w:r>
      <w:r w:rsidRPr="003532DF">
        <w:rPr>
          <w:vertAlign w:val="subscript"/>
        </w:rPr>
        <w:t>4</w:t>
      </w:r>
      <w:r w:rsidRPr="003532DF">
        <w:t xml:space="preserve"> (δ</w:t>
      </w:r>
      <w:r w:rsidRPr="003532DF">
        <w:rPr>
          <w:vertAlign w:val="superscript"/>
        </w:rPr>
        <w:t>13</w:t>
      </w:r>
      <w:r w:rsidRPr="003532DF">
        <w:t>C) were measured in the study area in June and December 2016. The mean CH</w:t>
      </w:r>
      <w:r w:rsidRPr="003532DF">
        <w:rPr>
          <w:vertAlign w:val="subscript"/>
        </w:rPr>
        <w:t>4</w:t>
      </w:r>
      <w:r w:rsidRPr="003532DF">
        <w:t xml:space="preserve"> value for the whole water column was 10.5 ± 4.3 nmol L</w:t>
      </w:r>
      <w:r w:rsidRPr="003532DF">
        <w:rPr>
          <w:vertAlign w:val="superscript"/>
        </w:rPr>
        <w:t>−1</w:t>
      </w:r>
      <w:r w:rsidRPr="003532DF">
        <w:t>, with large spatial and temporal variations. The highest values were found in June 2016 and the lowest in March 2016. In surface waters, the mean dissolved methane concentration was of 9.6 ± 2.6 nmol L</w:t>
      </w:r>
      <w:r w:rsidRPr="003532DF">
        <w:rPr>
          <w:vertAlign w:val="superscript"/>
        </w:rPr>
        <w:t>−1</w:t>
      </w:r>
      <w:r w:rsidRPr="003532DF">
        <w:t>. In most of the sampling area, high concentrations of CH</w:t>
      </w:r>
      <w:r w:rsidRPr="003532DF">
        <w:rPr>
          <w:vertAlign w:val="subscript"/>
        </w:rPr>
        <w:t>4</w:t>
      </w:r>
      <w:r w:rsidRPr="003532DF">
        <w:t xml:space="preserve"> were found in subsurface waters at depths close to the thermocline and at the coastal stations. The highest concentrations were obtained from the bottom waters above the Anastasya mud volcano (125 nmol L</w:t>
      </w:r>
      <w:r w:rsidRPr="003532DF">
        <w:rPr>
          <w:vertAlign w:val="superscript"/>
        </w:rPr>
        <w:t>−1</w:t>
      </w:r>
      <w:r w:rsidRPr="003532DF">
        <w:t>). The stable carbon isotope compositions ranged between - 29.2 and - 58.4‰, and the least negative values were associated with the highest CH</w:t>
      </w:r>
      <w:r w:rsidRPr="003532DF">
        <w:rPr>
          <w:vertAlign w:val="subscript"/>
        </w:rPr>
        <w:t>4</w:t>
      </w:r>
      <w:r w:rsidRPr="003532DF">
        <w:t xml:space="preserve"> concentrations in samples from above the mud volcanoes, related to thermogenic values. The sea-air fluxes of CH</w:t>
      </w:r>
      <w:r w:rsidRPr="003532DF">
        <w:rPr>
          <w:vertAlign w:val="subscript"/>
        </w:rPr>
        <w:t>4</w:t>
      </w:r>
      <w:r w:rsidRPr="003532DF">
        <w:t xml:space="preserve"> ranged from 12.4 to 37.7 μmol m</w:t>
      </w:r>
      <w:r w:rsidRPr="003532DF">
        <w:rPr>
          <w:vertAlign w:val="superscript"/>
        </w:rPr>
        <w:t>−2</w:t>
      </w:r>
      <w:r w:rsidRPr="003532DF">
        <w:t xml:space="preserve"> d</w:t>
      </w:r>
      <w:r w:rsidRPr="003532DF">
        <w:rPr>
          <w:vertAlign w:val="superscript"/>
        </w:rPr>
        <w:t>−1</w:t>
      </w:r>
      <w:r w:rsidRPr="003532DF">
        <w:t>, showing that the study area acts as a source of CH</w:t>
      </w:r>
      <w:r w:rsidRPr="003532DF">
        <w:rPr>
          <w:vertAlign w:val="subscript"/>
        </w:rPr>
        <w:t>4</w:t>
      </w:r>
      <w:r w:rsidRPr="003532DF">
        <w:t xml:space="preserve"> to the atmosphere.</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Simoneit, B.R.T., Oros, D.R., Karwowski, Ł., Szendera, Ł., Smolarek-Lach, J., Goryl, M., Bucha, M., Rybicki, M., Marynowski, L., </w:t>
      </w:r>
      <w:r w:rsidR="00616347">
        <w:t xml:space="preserve">2020. </w:t>
      </w:r>
      <w:r w:rsidRPr="003532DF">
        <w:t>Terpenoid biomarkers of ambers from Miocene tropical paleoenvironments in Borneo and of their potential extant plant sources. International Journal of Coal Geology 221, 103430.</w:t>
      </w:r>
    </w:p>
    <w:p w:rsidR="00DB42FE" w:rsidRPr="003532DF" w:rsidRDefault="00DB42FE" w:rsidP="00616347">
      <w:pPr>
        <w:pStyle w:val="EndNoteBibliography"/>
        <w:ind w:left="360"/>
      </w:pPr>
      <w:r w:rsidRPr="003532DF">
        <w:t>http://www.sciencedirect.com/science/article/pii/S0166516219311486</w:t>
      </w:r>
    </w:p>
    <w:p w:rsidR="00DB42FE" w:rsidRPr="003532DF" w:rsidRDefault="00DB42FE" w:rsidP="00616347">
      <w:pPr>
        <w:pStyle w:val="EndNoteBibliography"/>
        <w:spacing w:after="0"/>
        <w:ind w:left="360"/>
      </w:pPr>
      <w:r w:rsidRPr="003532DF">
        <w:t xml:space="preserve">The chemical composition of ambers is highly diverse, characterized by the occurrence of a variety of terpenoids including: mono-, sesqui-, di-, and triterpenoids. The direct analyses of their chemical constituents in total extracts using polar solvents permits the elucidation of unaltered natural products, which are characteristic of the source plants or paleobiome. At this time, knowledge is limited about the plant origins of fossil resins that formed in tropical climatic conditions. Here, we present the complex chemical characteristics of Miocene fossil resins (resinites, termed here as ambers) from the tropics of Kalimantan (Borneo, Indonesia). Extant plant resins from the same geoclimatic region were also analyzed to identify the potential botanical sources of the ambers. Gas chromatography-mass spectrometry (GC–MS) analyses of total extracts (silylated and methylated) of natural and amber samples were carried out and compared with standard compounds. The main producers of resins forming these Miocene ambers were angiosperms - probably resins of </w:t>
      </w:r>
      <w:r w:rsidRPr="003532DF">
        <w:rPr>
          <w:i/>
        </w:rPr>
        <w:t>Shorea</w:t>
      </w:r>
      <w:r w:rsidRPr="003532DF">
        <w:t xml:space="preserve"> and less likely </w:t>
      </w:r>
      <w:r w:rsidRPr="003532DF">
        <w:rPr>
          <w:i/>
        </w:rPr>
        <w:t>Hopea</w:t>
      </w:r>
      <w:r w:rsidRPr="003532DF">
        <w:t xml:space="preserve">, but not </w:t>
      </w:r>
      <w:r w:rsidRPr="003532DF">
        <w:rPr>
          <w:i/>
        </w:rPr>
        <w:t>Dipterocarpus</w:t>
      </w:r>
      <w:r w:rsidRPr="003532DF">
        <w:t xml:space="preserve"> species. The key chemotaxonomic marker, present in the ambers and extant </w:t>
      </w:r>
      <w:r w:rsidRPr="003532DF">
        <w:rPr>
          <w:i/>
        </w:rPr>
        <w:t>Shorea</w:t>
      </w:r>
      <w:r w:rsidRPr="003532DF">
        <w:t xml:space="preserve"> species, was asiatic acid. All samples were composed of sesquiterpenoids and triterpenoids in various proportions, without diterpenoids, characteristic for flowering plants. The sesquiterpenoids in the resins of both ambers and extant plants were primarily natural products with the cadinane skeleton. The triterpenoids of the extant resins of the Dipterocarpaceae and Miocene ambers were characterized by a prevalence of ursane over oleanane types. Polymerization of cadinoids in resins from </w:t>
      </w:r>
      <w:r w:rsidRPr="003532DF">
        <w:rPr>
          <w:i/>
        </w:rPr>
        <w:t>Shorea</w:t>
      </w:r>
      <w:r w:rsidRPr="003532DF">
        <w:t xml:space="preserve"> species and in the ambers was not extensive. Based on the amber compositions we conclude that the molecular alteration of the Miocene deposits from Kalimantan is rather low, but differs depending on their location.</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lastRenderedPageBreak/>
        <w:t xml:space="preserve">Singhroha, S., Bünz, S., Plaza-Faverola, A., Chand, S., </w:t>
      </w:r>
      <w:r w:rsidR="00616347">
        <w:t xml:space="preserve">2020. </w:t>
      </w:r>
      <w:r w:rsidRPr="003532DF">
        <w:t>Detection of gas hydrates in faults using azimuthal seismic velocity analysis, Vestnesa Ridge, W-Svalbard Margin. Journal of Geophysical Research: Solid Earth 125, e2019JB017949.</w:t>
      </w:r>
    </w:p>
    <w:p w:rsidR="00DB42FE" w:rsidRPr="003532DF" w:rsidRDefault="00DB42FE" w:rsidP="00616347">
      <w:pPr>
        <w:pStyle w:val="EndNoteBibliography"/>
        <w:ind w:left="360"/>
      </w:pPr>
      <w:r w:rsidRPr="003532DF">
        <w:t>https://doi.org/10.1029/2019JB017949</w:t>
      </w:r>
    </w:p>
    <w:p w:rsidR="00DB42FE" w:rsidRPr="003532DF" w:rsidRDefault="00DB42FE" w:rsidP="00616347">
      <w:pPr>
        <w:pStyle w:val="EndNoteBibliography"/>
        <w:spacing w:after="0"/>
        <w:ind w:left="360"/>
      </w:pPr>
      <w:r w:rsidRPr="003532DF">
        <w:t xml:space="preserve">Joint analysis of electrical resistivity and seismic velocity data is primarily used to detect the presence of gas hydrate‐filled faults and fractures. In this study, we present a novel approach to infer the occurrence of structurally controlled gas hydrate accumulations using azimuthal seismic velocity analysis. We perform this analysis using ocean‐bottom seismic data at two sites on Vestnesa Ridge, W‐Svalbard Margin. Previous geophysical studies inferred the presence of gas hydrates at shallow depths (up to ~190–195 m below the seafloor) in marine sediments of Vestnesa Ridge. We analyze azimuthal </w:t>
      </w:r>
      <w:r w:rsidRPr="003532DF">
        <w:rPr>
          <w:i/>
        </w:rPr>
        <w:t>P</w:t>
      </w:r>
      <w:r w:rsidRPr="003532DF">
        <w:t xml:space="preserve">‐wave seismic velocities in relation with steeply dipping near‐surface faults to study structural controls on gas hydrate distribution. This unique analysis documents directional changes in seismic velocities along and across faults. </w:t>
      </w:r>
      <w:r w:rsidRPr="003532DF">
        <w:rPr>
          <w:i/>
        </w:rPr>
        <w:t>P</w:t>
      </w:r>
      <w:r w:rsidRPr="003532DF">
        <w:t>‐wave velocities are elevated and reduced by ~0.06–0.08 km/s in azimuths where the raypath plane lies along the fault plane in the gas hydrate stability zone (GHSZ) and below the base of the GHSZ, respectively. The resulting velocities can be explained with the presence of gas hydrate‐ and free gas‐filled faults above and below the base of the GHSZ, respectively. Moreover, the occurrence of elevated and reduced (&gt;0.05 km/s) seismic velocities in groups of azimuths bounded by faults suggests compartmentalization of gas hydrates and free gas by fault planes. Results from gas hydrate saturation modeling suggest that these observed changes in seismic velocities with azimuth can be due to gas hydrate saturated faults of thickness greater than 20 cm and considerably smaller than 300 cm.</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Sminchak, J.R., Mawalkar, S., Gupta, N., </w:t>
      </w:r>
      <w:r w:rsidR="00616347">
        <w:t xml:space="preserve">2020. </w:t>
      </w:r>
      <w:r w:rsidRPr="003532DF">
        <w:t>Large CO</w:t>
      </w:r>
      <w:r w:rsidRPr="003532DF">
        <w:rPr>
          <w:vertAlign w:val="subscript"/>
        </w:rPr>
        <w:t>2</w:t>
      </w:r>
      <w:r w:rsidRPr="003532DF">
        <w:t xml:space="preserve"> storage volumes result in net negative emissions for greenhouse gas life cycle analysis based on records from 22 years of CO</w:t>
      </w:r>
      <w:r w:rsidRPr="003532DF">
        <w:rPr>
          <w:vertAlign w:val="subscript"/>
        </w:rPr>
        <w:t>2</w:t>
      </w:r>
      <w:r w:rsidRPr="003532DF">
        <w:t>-enhanced oil recovery operations. Energy &amp; Fuels 34, 3566-3577.</w:t>
      </w:r>
    </w:p>
    <w:p w:rsidR="00DB42FE" w:rsidRPr="003532DF" w:rsidRDefault="00DB42FE" w:rsidP="00616347">
      <w:pPr>
        <w:pStyle w:val="EndNoteBibliography"/>
        <w:ind w:left="360"/>
      </w:pPr>
      <w:r w:rsidRPr="003532DF">
        <w:t>https://doi.org/10.1021/acs.energyfuels.9b04540</w:t>
      </w:r>
    </w:p>
    <w:p w:rsidR="00DB42FE" w:rsidRPr="003532DF" w:rsidRDefault="00DB42FE" w:rsidP="00616347">
      <w:pPr>
        <w:pStyle w:val="EndNoteBibliography"/>
        <w:spacing w:after="0"/>
        <w:ind w:left="360"/>
      </w:pPr>
      <w:r w:rsidRPr="003532DF">
        <w:t>Emissions were documented in a greenhouse gas emission life cycle analysis of 22 years of CO</w:t>
      </w:r>
      <w:r w:rsidRPr="003532DF">
        <w:rPr>
          <w:vertAlign w:val="subscript"/>
        </w:rPr>
        <w:t>2</w:t>
      </w:r>
      <w:r w:rsidRPr="003532DF">
        <w:t>-enhanced oil recovery (CO</w:t>
      </w:r>
      <w:r w:rsidRPr="003532DF">
        <w:rPr>
          <w:vertAlign w:val="subscript"/>
        </w:rPr>
        <w:t>2</w:t>
      </w:r>
      <w:r w:rsidRPr="003532DF">
        <w:t>-EOR) operations for a site in the Northern Michigan Basin, U.S. At the site, CO</w:t>
      </w:r>
      <w:r w:rsidRPr="003532DF">
        <w:rPr>
          <w:vertAlign w:val="subscript"/>
        </w:rPr>
        <w:t>2</w:t>
      </w:r>
      <w:r w:rsidRPr="003532DF">
        <w:t xml:space="preserve"> was cycled through a series of 10 carbonate reef structures 1500–2000 m deep in the subsurface. The CO</w:t>
      </w:r>
      <w:r w:rsidRPr="003532DF">
        <w:rPr>
          <w:vertAlign w:val="subscript"/>
        </w:rPr>
        <w:t>2</w:t>
      </w:r>
      <w:r w:rsidRPr="003532DF">
        <w:t xml:space="preserve"> mobilized oil in the reefs, and the operator produced 294 321 metric tons (2 290 000 barrels) of oil with CO</w:t>
      </w:r>
      <w:r w:rsidRPr="003532DF">
        <w:rPr>
          <w:vertAlign w:val="subscript"/>
        </w:rPr>
        <w:t>2</w:t>
      </w:r>
      <w:r w:rsidRPr="003532DF">
        <w:t>-EOR at the site from 1996 to 2017. In the process, a total of 2 089 000 metric tons of CO</w:t>
      </w:r>
      <w:r w:rsidRPr="003532DF">
        <w:rPr>
          <w:vertAlign w:val="subscript"/>
        </w:rPr>
        <w:t>2</w:t>
      </w:r>
      <w:r w:rsidRPr="003532DF">
        <w:t xml:space="preserve"> were stored in the deep rock formations, which is a very large volume for CO</w:t>
      </w:r>
      <w:r w:rsidRPr="003532DF">
        <w:rPr>
          <w:vertAlign w:val="subscript"/>
        </w:rPr>
        <w:t>2</w:t>
      </w:r>
      <w:r w:rsidRPr="003532DF">
        <w:t>-EOR applications of this scale. The life cycle analysis accounted for greenhouse gas emissions related to CO</w:t>
      </w:r>
      <w:r w:rsidRPr="003532DF">
        <w:rPr>
          <w:vertAlign w:val="subscript"/>
        </w:rPr>
        <w:t>2</w:t>
      </w:r>
      <w:r w:rsidRPr="003532DF">
        <w:t xml:space="preserve"> capture, compression, pipeline transport, CO</w:t>
      </w:r>
      <w:r w:rsidRPr="003532DF">
        <w:rPr>
          <w:vertAlign w:val="subscript"/>
        </w:rPr>
        <w:t>2</w:t>
      </w:r>
      <w:r w:rsidRPr="003532DF">
        <w:t xml:space="preserve"> injection, oil processing, CO</w:t>
      </w:r>
      <w:r w:rsidRPr="003532DF">
        <w:rPr>
          <w:vertAlign w:val="subscript"/>
        </w:rPr>
        <w:t>2</w:t>
      </w:r>
      <w:r w:rsidRPr="003532DF">
        <w:t xml:space="preserve"> recycle, dehydration, fugitive emissions, construction, land use, well drilling, oil transport, oil refining, hydrocarbon product combustion, and other processes. The analysis was based on site-specific operational records such as natural gas usage, drilling records, and system flow metering. Altogether, the upstream CO</w:t>
      </w:r>
      <w:r w:rsidRPr="003532DF">
        <w:rPr>
          <w:vertAlign w:val="subscript"/>
        </w:rPr>
        <w:t>2</w:t>
      </w:r>
      <w:r w:rsidRPr="003532DF">
        <w:t xml:space="preserve"> capture, “gate-to-gate” CO</w:t>
      </w:r>
      <w:r w:rsidRPr="003532DF">
        <w:rPr>
          <w:vertAlign w:val="subscript"/>
        </w:rPr>
        <w:t>2</w:t>
      </w:r>
      <w:r w:rsidRPr="003532DF">
        <w:t>-EOR operations, and downstream fuel product refining/combustion had total emissions of 1 929 443 metric tons of CO</w:t>
      </w:r>
      <w:r w:rsidRPr="003532DF">
        <w:rPr>
          <w:vertAlign w:val="subscript"/>
        </w:rPr>
        <w:t>2</w:t>
      </w:r>
      <w:r w:rsidRPr="003532DF">
        <w:t xml:space="preserve"> equivalent. Thus, the life cycle analysis showed −159 907 metric tons of CO</w:t>
      </w:r>
      <w:r w:rsidRPr="003532DF">
        <w:rPr>
          <w:vertAlign w:val="subscript"/>
        </w:rPr>
        <w:t>2</w:t>
      </w:r>
      <w:r w:rsidRPr="003532DF">
        <w:t xml:space="preserve"> equivalent net balance for the CO</w:t>
      </w:r>
      <w:r w:rsidRPr="003532DF">
        <w:rPr>
          <w:vertAlign w:val="subscript"/>
        </w:rPr>
        <w:t>2</w:t>
      </w:r>
      <w:r w:rsidRPr="003532DF">
        <w:t>-EOR system for 1996–2017. The CO</w:t>
      </w:r>
      <w:r w:rsidRPr="003532DF">
        <w:rPr>
          <w:vertAlign w:val="subscript"/>
        </w:rPr>
        <w:t>2</w:t>
      </w:r>
      <w:r w:rsidRPr="003532DF">
        <w:t>-EOR system obtains CO</w:t>
      </w:r>
      <w:r w:rsidRPr="003532DF">
        <w:rPr>
          <w:vertAlign w:val="subscript"/>
        </w:rPr>
        <w:t>2</w:t>
      </w:r>
      <w:r w:rsidRPr="003532DF">
        <w:t xml:space="preserve"> from a gas processing facility that separates CO</w:t>
      </w:r>
      <w:r w:rsidRPr="003532DF">
        <w:rPr>
          <w:vertAlign w:val="subscript"/>
        </w:rPr>
        <w:t>2</w:t>
      </w:r>
      <w:r w:rsidRPr="003532DF">
        <w:t xml:space="preserve"> from natural gas produced in the area, and the CO</w:t>
      </w:r>
      <w:r w:rsidRPr="003532DF">
        <w:rPr>
          <w:vertAlign w:val="subscript"/>
        </w:rPr>
        <w:t>2</w:t>
      </w:r>
      <w:r w:rsidRPr="003532DF">
        <w:t xml:space="preserve"> would be otherwise vented to the atmosphere. A ready source of CO</w:t>
      </w:r>
      <w:r w:rsidRPr="003532DF">
        <w:rPr>
          <w:vertAlign w:val="subscript"/>
        </w:rPr>
        <w:t>2</w:t>
      </w:r>
      <w:r w:rsidRPr="003532DF">
        <w:t xml:space="preserve"> that allowed a large volume of associated CO</w:t>
      </w:r>
      <w:r w:rsidRPr="003532DF">
        <w:rPr>
          <w:vertAlign w:val="subscript"/>
        </w:rPr>
        <w:t>2</w:t>
      </w:r>
      <w:r w:rsidRPr="003532DF">
        <w:t xml:space="preserve"> storage, compressors that run on natural gas, a small pipeline distribution network, highly contained </w:t>
      </w:r>
      <w:r w:rsidRPr="003532DF">
        <w:lastRenderedPageBreak/>
        <w:t>reservoirs, and government incentives to encourage CO</w:t>
      </w:r>
      <w:r w:rsidRPr="003532DF">
        <w:rPr>
          <w:vertAlign w:val="subscript"/>
        </w:rPr>
        <w:t>2</w:t>
      </w:r>
      <w:r w:rsidRPr="003532DF">
        <w:t xml:space="preserve"> storage also contributed to the lower CO</w:t>
      </w:r>
      <w:r w:rsidRPr="003532DF">
        <w:rPr>
          <w:vertAlign w:val="subscript"/>
        </w:rPr>
        <w:t>2</w:t>
      </w:r>
      <w:r w:rsidRPr="003532DF">
        <w:t xml:space="preserve"> emission balance when compared to other CO</w:t>
      </w:r>
      <w:r w:rsidRPr="003532DF">
        <w:rPr>
          <w:vertAlign w:val="subscript"/>
        </w:rPr>
        <w:t>2</w:t>
      </w:r>
      <w:r w:rsidRPr="003532DF">
        <w:t>-EOR life cycle studies. While this site had many favorable factors to result in net negative emissions, it provides an example of managing CO</w:t>
      </w:r>
      <w:r w:rsidRPr="003532DF">
        <w:rPr>
          <w:vertAlign w:val="subscript"/>
        </w:rPr>
        <w:t>2</w:t>
      </w:r>
      <w:r w:rsidRPr="003532DF">
        <w:t>-EOR operations and optimizing associated CO</w:t>
      </w:r>
      <w:r w:rsidRPr="003532DF">
        <w:rPr>
          <w:vertAlign w:val="subscript"/>
        </w:rPr>
        <w:t>2</w:t>
      </w:r>
      <w:r w:rsidRPr="003532DF">
        <w:t xml:space="preserve"> storage to reduce net greenhouse gas emissions.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Smirnov, M.B., Fadeeva, N.P., Poludetkina, E.N., </w:t>
      </w:r>
      <w:r w:rsidR="00616347">
        <w:t xml:space="preserve">2020. </w:t>
      </w:r>
      <w:r w:rsidRPr="003532DF">
        <w:t>Distribution of anoxic conditions in the photic layer of sedimentation basin during formation of organic matter in the Domanik sediments of the northern and central areas of the Volga–Urals petroleum basin. Geochemistry International 58, 321-331.</w:t>
      </w:r>
    </w:p>
    <w:p w:rsidR="00DB42FE" w:rsidRPr="003532DF" w:rsidRDefault="00DB42FE" w:rsidP="00616347">
      <w:pPr>
        <w:pStyle w:val="EndNoteBibliography"/>
        <w:ind w:left="360"/>
      </w:pPr>
      <w:r w:rsidRPr="003532DF">
        <w:t>https://doi.org/10.1134/S0016702920030106</w:t>
      </w:r>
    </w:p>
    <w:p w:rsidR="00DB42FE" w:rsidRPr="003532DF" w:rsidRDefault="00DB42FE" w:rsidP="00616347">
      <w:pPr>
        <w:pStyle w:val="EndNoteBibliography"/>
        <w:spacing w:after="0"/>
        <w:ind w:left="360"/>
      </w:pPr>
      <w:r w:rsidRPr="003532DF">
        <w:t>The composition of compounds employed as markers for anoxia in the photic layer of the sedimentation basin is studied in samples from Upper Devonian domanik-type sediments (Sargaevian, Semilukian, and Mendymian horizons, Famennian stage), which are widespread over the Volga–Urals basin. The studies were carried out along the north-south section spanning the northern and central parts of the Volga–Urals areas. The H</w:t>
      </w:r>
      <w:r w:rsidRPr="003532DF">
        <w:rPr>
          <w:vertAlign w:val="subscript"/>
        </w:rPr>
        <w:t>2</w:t>
      </w:r>
      <w:r w:rsidRPr="003532DF">
        <w:t>S contamination of photic layer was determined over the most part of the studied territory. During the Semilukian time, the boundary of H</w:t>
      </w:r>
      <w:r w:rsidRPr="003532DF">
        <w:rPr>
          <w:vertAlign w:val="subscript"/>
        </w:rPr>
        <w:t>2</w:t>
      </w:r>
      <w:r w:rsidRPr="003532DF">
        <w:t>S contamination passed through the middle part of the near-slope zone of the Mukhanovo–Erokhov Trough; the contamination reached the highest thickness in the northern part of the region. The intense H</w:t>
      </w:r>
      <w:r w:rsidRPr="003532DF">
        <w:rPr>
          <w:vertAlign w:val="subscript"/>
        </w:rPr>
        <w:t>2</w:t>
      </w:r>
      <w:r w:rsidRPr="003532DF">
        <w:t>S contamination also occurred in this part in the Pashiiskian and Sargaevian time. The Mukhanovo–Erokhov Trough during Mendymian and Famennian was characterized by a strong change of setting: from a steady strong contamination to its complete absence. It is shown that changes in the content of anoxia markers in samples from the the Kama–Belsk Basin and South Tatar Arch were caused by variations of thickness of the contaminated layer. It is revealed that the processes of complete hydrogenation of initial polyenes prevail over cyclization for the domanik-type sediments over the entire region. It was found that the ratio of the total content of alkyl benzenes in the fraction of aromatic compounds to the total content of products of complete hydrogenation of initial polyenes in OM from the domanik-type sediments of the studied areas does not depend on the OM maturity. Explanation of this fact is proposed.</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Snow, N., </w:t>
      </w:r>
      <w:r w:rsidR="00616347">
        <w:t xml:space="preserve">2020. </w:t>
      </w:r>
      <w:r w:rsidRPr="003532DF">
        <w:t>Basic Multidimensional Gas Chromatography, Separation Science and Technology Volume 12. Academic Press, p. 330.</w:t>
      </w:r>
    </w:p>
    <w:p w:rsidR="00DB42FE" w:rsidRPr="003532DF" w:rsidRDefault="00DB42FE" w:rsidP="00616347">
      <w:pPr>
        <w:pStyle w:val="EndNoteBibliography"/>
        <w:ind w:left="360"/>
      </w:pPr>
      <w:r w:rsidRPr="003532DF">
        <w:t>https://www.sciencedirect.com/bookseries/separation-science-and-technology/vol/12/suppl/C</w:t>
      </w:r>
    </w:p>
    <w:p w:rsidR="00DB42FE" w:rsidRPr="003532DF" w:rsidRDefault="00DB42FE" w:rsidP="00616347">
      <w:pPr>
        <w:pStyle w:val="EndNoteBibliography"/>
        <w:ind w:left="360"/>
      </w:pPr>
      <w:r w:rsidRPr="003532DF">
        <w:rPr>
          <w:i/>
        </w:rPr>
        <w:t>Basic Multidimensional Gas Chromatography</w:t>
      </w:r>
      <w:r w:rsidRPr="003532DF">
        <w:t xml:space="preserve"> is aimed at the next generation of multidimensional gas chromatography users who will require basic training in the fundamentals of both GC and GCxGC. This book fills the current need for an inexpensive, straightforward guidebook to get new users started. It will help new users determine when to add or purchase a multidimensional system and teach them to optimize and maximize the capability of each system. Readers will also learn to select specific modes for each portion of a multidimensional analysis. This ideal resource is a concise, hard-hitting text that provides the facts needed to get users up and running. </w:t>
      </w:r>
    </w:p>
    <w:p w:rsidR="00DB42FE" w:rsidRPr="003532DF" w:rsidRDefault="00DB42FE" w:rsidP="00616347">
      <w:pPr>
        <w:pStyle w:val="EndNoteBibliography"/>
        <w:ind w:left="360"/>
      </w:pPr>
      <w:r w:rsidRPr="003532DF">
        <w:t>Key Features</w:t>
      </w:r>
    </w:p>
    <w:p w:rsidR="00DB42FE" w:rsidRPr="003532DF" w:rsidRDefault="00DB42FE" w:rsidP="000A2352">
      <w:pPr>
        <w:pStyle w:val="EndNoteBibliography"/>
        <w:ind w:left="720" w:hanging="180"/>
      </w:pPr>
      <w:r w:rsidRPr="003532DF">
        <w:rPr>
          <w:rFonts w:ascii="Symbol" w:hAnsi="Symbol"/>
        </w:rPr>
        <w:t></w:t>
      </w:r>
      <w:r w:rsidRPr="003532DF">
        <w:rPr>
          <w:rFonts w:ascii="Symbol" w:hAnsi="Symbol"/>
        </w:rPr>
        <w:t></w:t>
      </w:r>
      <w:r w:rsidRPr="003532DF">
        <w:t xml:space="preserve">Provides a comprehensive and fundamental introduction to multidimensional gas chromatography </w:t>
      </w:r>
    </w:p>
    <w:p w:rsidR="00DB42FE" w:rsidRPr="003532DF" w:rsidRDefault="00DB42FE" w:rsidP="000A2352">
      <w:pPr>
        <w:pStyle w:val="EndNoteBibliography"/>
        <w:ind w:left="720" w:hanging="180"/>
      </w:pPr>
      <w:r w:rsidRPr="003532DF">
        <w:rPr>
          <w:rFonts w:ascii="Symbol" w:hAnsi="Symbol"/>
        </w:rPr>
        <w:lastRenderedPageBreak/>
        <w:t></w:t>
      </w:r>
      <w:r w:rsidRPr="003532DF">
        <w:rPr>
          <w:rFonts w:ascii="Symbol" w:hAnsi="Symbol"/>
        </w:rPr>
        <w:t></w:t>
      </w:r>
      <w:r w:rsidRPr="003532DF">
        <w:t xml:space="preserve">Assists readers in determining when to add or purchase a multidimensional system </w:t>
      </w:r>
    </w:p>
    <w:p w:rsidR="00DB42FE" w:rsidRPr="003532DF" w:rsidRDefault="00DB42FE" w:rsidP="000A2352">
      <w:pPr>
        <w:pStyle w:val="EndNoteBibliography"/>
        <w:ind w:left="720" w:hanging="180"/>
      </w:pPr>
      <w:r w:rsidRPr="003532DF">
        <w:rPr>
          <w:rFonts w:ascii="Symbol" w:hAnsi="Symbol"/>
        </w:rPr>
        <w:t></w:t>
      </w:r>
      <w:r w:rsidRPr="003532DF">
        <w:rPr>
          <w:rFonts w:ascii="Symbol" w:hAnsi="Symbol"/>
        </w:rPr>
        <w:t></w:t>
      </w:r>
      <w:r w:rsidRPr="003532DF">
        <w:t>Explains how a given system can be used to its maximum capacity and how users should choose specific modes for different portions of multidimensional analysis</w:t>
      </w:r>
    </w:p>
    <w:p w:rsidR="00DB42FE" w:rsidRPr="003532DF" w:rsidRDefault="00DB42FE" w:rsidP="00616347">
      <w:pPr>
        <w:pStyle w:val="EndNoteBibliography"/>
        <w:ind w:left="360"/>
      </w:pPr>
      <w:r w:rsidRPr="003532DF">
        <w:t>Readership: New users, managers, trainers and trainees in analytical science that wish to use multidimensional GC techniques. It will provide a quick and fundamental introduction to the various aspects of multidimensional GC, especially as they differ from traditional GC</w:t>
      </w:r>
    </w:p>
    <w:p w:rsidR="00DB42FE" w:rsidRPr="003532DF" w:rsidRDefault="00DB42FE" w:rsidP="000A2352">
      <w:pPr>
        <w:pStyle w:val="EndNoteBibliography"/>
        <w:spacing w:after="0"/>
        <w:ind w:left="1440" w:hanging="1080"/>
      </w:pPr>
      <w:r w:rsidRPr="003532DF">
        <w:t>Chapter 1 - Introduction and historical background: the “inside” story of comprehensive two-dimensional gas chromatography, John Dimandja, 1-40.</w:t>
      </w:r>
    </w:p>
    <w:p w:rsidR="00DB42FE" w:rsidRPr="003532DF" w:rsidRDefault="00DB42FE" w:rsidP="000A2352">
      <w:pPr>
        <w:pStyle w:val="EndNoteBibliography"/>
        <w:spacing w:after="0"/>
        <w:ind w:left="1440" w:hanging="1080"/>
      </w:pPr>
      <w:r w:rsidRPr="003532DF">
        <w:t>Chapter 2 - A better way to separate the wheat from the chaff. Progression from single-dimension gas chromatography to multidimensional gas chromatography, Phillip Marriott, Yada Nolvachai,  41-68</w:t>
      </w:r>
    </w:p>
    <w:p w:rsidR="00DB42FE" w:rsidRPr="003532DF" w:rsidRDefault="00DB42FE" w:rsidP="000A2352">
      <w:pPr>
        <w:pStyle w:val="EndNoteBibliography"/>
        <w:spacing w:after="0"/>
        <w:ind w:left="1440" w:hanging="1080"/>
      </w:pPr>
      <w:r w:rsidRPr="003532DF">
        <w:t>Chapter 3 - Columns and column configurations, Pierre-Hugues Stefanuto, Jean-François Focant, 69-88</w:t>
      </w:r>
    </w:p>
    <w:p w:rsidR="00DB42FE" w:rsidRPr="003532DF" w:rsidRDefault="00DB42FE" w:rsidP="000A2352">
      <w:pPr>
        <w:pStyle w:val="EndNoteBibliography"/>
        <w:spacing w:after="0"/>
        <w:ind w:left="1440" w:hanging="1080"/>
      </w:pPr>
      <w:r w:rsidRPr="003532DF">
        <w:t>Chapter 4. Modulators, H. Boswell, H.-Y. Chow, T. Gorecki, 89-140</w:t>
      </w:r>
    </w:p>
    <w:p w:rsidR="00DB42FE" w:rsidRPr="003532DF" w:rsidRDefault="00DB42FE" w:rsidP="000A2352">
      <w:pPr>
        <w:pStyle w:val="EndNoteBibliography"/>
        <w:spacing w:after="0"/>
        <w:ind w:left="1440" w:hanging="1080"/>
      </w:pPr>
      <w:r w:rsidRPr="003532DF">
        <w:t>Chapter 5. Inlets and sampling, Benedikt A. Weggler, Beate Gruber, Paige Teehan, Roman Jaramillo, Frank L. Dorman, 141-203</w:t>
      </w:r>
    </w:p>
    <w:p w:rsidR="00DB42FE" w:rsidRPr="003532DF" w:rsidRDefault="00DB42FE" w:rsidP="000A2352">
      <w:pPr>
        <w:pStyle w:val="EndNoteBibliography"/>
        <w:spacing w:after="0"/>
        <w:ind w:left="1440" w:hanging="1080"/>
      </w:pPr>
      <w:r w:rsidRPr="003532DF">
        <w:t>Chapter 6. Detectors and Basic Data Analysis, Peter Q. Tranchida, Luigi Mondello, 205-227</w:t>
      </w:r>
    </w:p>
    <w:p w:rsidR="00DB42FE" w:rsidRPr="003532DF" w:rsidRDefault="00DB42FE" w:rsidP="000A2352">
      <w:pPr>
        <w:pStyle w:val="EndNoteBibliography"/>
        <w:spacing w:after="0"/>
        <w:ind w:left="1440" w:hanging="1080"/>
      </w:pPr>
      <w:r w:rsidRPr="003532DF">
        <w:t>Chapter 7. Advanced data handling in comprehensive two-dimensional gas chromatography, Kelsey Berrier, Sarah Prebihalo, and Rob Synovec,  229-268</w:t>
      </w:r>
    </w:p>
    <w:p w:rsidR="00DB42FE" w:rsidRPr="003532DF" w:rsidRDefault="00DB42FE" w:rsidP="000A2352">
      <w:pPr>
        <w:pStyle w:val="EndNoteBibliography"/>
        <w:spacing w:after="0"/>
        <w:ind w:left="1440" w:hanging="1080"/>
      </w:pPr>
      <w:r w:rsidRPr="003532DF">
        <w:t>Chapter 8. Applications, Nicholas Snow, 269-295</w:t>
      </w:r>
    </w:p>
    <w:p w:rsidR="00DB42FE" w:rsidRPr="003532DF" w:rsidRDefault="00DB42FE" w:rsidP="000A2352">
      <w:pPr>
        <w:pStyle w:val="EndNoteBibliography"/>
        <w:spacing w:after="0"/>
        <w:ind w:left="1440" w:hanging="1080"/>
      </w:pPr>
      <w:r w:rsidRPr="003532DF">
        <w:t>Appendix. Additional Resources and Bibliography, Nicholas Snow, 297-300</w:t>
      </w:r>
    </w:p>
    <w:p w:rsidR="00DB42FE" w:rsidRPr="003532DF" w:rsidRDefault="00DB42FE" w:rsidP="000A2352">
      <w:pPr>
        <w:pStyle w:val="EndNoteBibliography"/>
        <w:spacing w:after="0"/>
        <w:ind w:left="1440" w:hanging="1080"/>
      </w:pPr>
      <w:r w:rsidRPr="003532DF">
        <w:t>Index 301-309</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Snow, N.H., </w:t>
      </w:r>
      <w:r w:rsidR="00616347">
        <w:t xml:space="preserve">2020. </w:t>
      </w:r>
      <w:r w:rsidRPr="003532DF">
        <w:t>Appendix - Additional resources and bibliography, in: Snow, N.H. (Ed.), Separation Science and Technology. Academic Press, pp. 297-300.</w:t>
      </w:r>
    </w:p>
    <w:p w:rsidR="00DB42FE" w:rsidRPr="003532DF" w:rsidRDefault="00DB42FE" w:rsidP="00616347">
      <w:pPr>
        <w:pStyle w:val="EndNoteBibliography"/>
        <w:ind w:left="360"/>
      </w:pPr>
      <w:r w:rsidRPr="003532DF">
        <w:t>http://www.sciencedirect.com/science/article/pii/B978012813745100009X</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Snow, N.H., </w:t>
      </w:r>
      <w:r w:rsidR="00616347">
        <w:t xml:space="preserve">2020. </w:t>
      </w:r>
      <w:r w:rsidRPr="003532DF">
        <w:t>Chapter 8 - Applications, in: Snow, N.H. (Ed.), Separation Science and Technology. Academic Press, pp. 269-295.</w:t>
      </w:r>
    </w:p>
    <w:p w:rsidR="00DB42FE" w:rsidRPr="003532DF" w:rsidRDefault="00DB42FE" w:rsidP="00616347">
      <w:pPr>
        <w:pStyle w:val="EndNoteBibliography"/>
        <w:ind w:left="360"/>
      </w:pPr>
      <w:r w:rsidRPr="003532DF">
        <w:t>http://www.sciencedirect.com/science/article/pii/B9780128137451000088</w:t>
      </w:r>
    </w:p>
    <w:p w:rsidR="00DB42FE" w:rsidRPr="003532DF" w:rsidRDefault="00DB42FE" w:rsidP="00616347">
      <w:pPr>
        <w:pStyle w:val="EndNoteBibliography"/>
        <w:spacing w:after="0"/>
        <w:ind w:left="360"/>
      </w:pPr>
      <w:r w:rsidRPr="003532DF">
        <w:t>This chapter provides a summary of multidimensional gas chromatography applications. Since its inception, GC×GC alone has generated over 6,000 research articles in areas as diverse as petroleum, environmental, food, flavor, fragrance, forensics and toxicology, and biological and clinical. New applications and methods are being reported almost daily. Summary tables of the hundreds of applications referenced in this book are included.</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Sobhani, Z., Zhang, X., Gibson, C., Naidu, R., Megharaj, M., Fang, C., </w:t>
      </w:r>
      <w:r w:rsidR="00616347">
        <w:t xml:space="preserve">2020. </w:t>
      </w:r>
      <w:r w:rsidRPr="003532DF">
        <w:t>Identification and visualisation of microplastics/nanoplastics by Raman imaging (i): Down to 100 nm. Water Research 174, 115658.</w:t>
      </w:r>
    </w:p>
    <w:p w:rsidR="00DB42FE" w:rsidRPr="003532DF" w:rsidRDefault="00DB42FE" w:rsidP="00616347">
      <w:pPr>
        <w:pStyle w:val="EndNoteBibliography"/>
        <w:ind w:left="360"/>
      </w:pPr>
      <w:r w:rsidRPr="003532DF">
        <w:t>http://www.sciencedirect.com/science/article/pii/S0043135420301949</w:t>
      </w:r>
    </w:p>
    <w:p w:rsidR="00DB42FE" w:rsidRPr="003532DF" w:rsidRDefault="00DB42FE" w:rsidP="00616347">
      <w:pPr>
        <w:pStyle w:val="EndNoteBibliography"/>
        <w:spacing w:after="0"/>
        <w:ind w:left="360"/>
      </w:pPr>
      <w:r w:rsidRPr="003532DF">
        <w:lastRenderedPageBreak/>
        <w:t xml:space="preserve">While microplastics (1 μm–5 mm) contamination is creating public concern, nanoplastics (&lt;1000 nm) might create even more serious environmental contamination issues. This is likely due to the smaller size/higher specific surface area of nanoplastics which works more efficiently as a vector for other contaminants’ transportation and fate, to release the formulation additives and to be accumulated in the human body. The research on nanoplastics is currently hampered by the absence of an effective characterisation method, although X-ray photoelectron spectroscopy/Scanning Electron Microscopy (XPS/SEM) is reportedly dominating the nanoplastics characterisation approaches. Recently, imaging technology, which provides direct visualisation of the targets, is attracting increased attention. In this study, we demonstrate that Raman imaging can be employed to visualise and identify microplastics and nanoplastics down to 100 nm, by distinguishing the laser spot, the pixel size/image resolution, the nanoplastics size/position (within a laser spot), the Raman signal intensity, and via the sample preparation etc. We also validate this technique for the analysis of paint-polishing dust samples that have been collected from a driveway when a vehicle’s clear coating of poly-acrylic was polished by hand. We estimate that billions-trillions of microplastics/nanoplastics ranging from </w:t>
      </w:r>
      <w:r w:rsidRPr="003532DF">
        <w:rPr>
          <w:rFonts w:ascii="Cambria Math" w:hAnsi="Cambria Math" w:cs="Cambria Math"/>
        </w:rPr>
        <w:t>∼</w:t>
      </w:r>
      <w:r w:rsidRPr="003532DF">
        <w:t>7</w:t>
      </w:r>
      <w:r w:rsidRPr="003532DF">
        <w:rPr>
          <w:rFonts w:cs="Calibri"/>
        </w:rPr>
        <w:t> μ</w:t>
      </w:r>
      <w:r w:rsidRPr="003532DF">
        <w:t xml:space="preserve">m down to </w:t>
      </w:r>
      <w:r w:rsidRPr="003532DF">
        <w:rPr>
          <w:rFonts w:ascii="Cambria Math" w:hAnsi="Cambria Math" w:cs="Cambria Math"/>
        </w:rPr>
        <w:t>∼</w:t>
      </w:r>
      <w:r w:rsidRPr="003532DF">
        <w:t>200</w:t>
      </w:r>
      <w:r w:rsidRPr="003532DF">
        <w:rPr>
          <w:rFonts w:cs="Calibri"/>
        </w:rPr>
        <w:t> </w:t>
      </w:r>
      <w:r w:rsidRPr="003532DF">
        <w:t>nm have been generated by hand-polishing an engine hood.</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Sommer, V., Karsten, U., Glaser, K., </w:t>
      </w:r>
      <w:r w:rsidR="00616347">
        <w:t xml:space="preserve">2020. </w:t>
      </w:r>
      <w:r w:rsidRPr="003532DF">
        <w:t>Halophilic algal communities in biological soil crusts isolated from potash tailings pile areas. Frontiers in Ecology and Evolution 8, 399, 121–134. doi: 10.1007/s11104-015-2687-y.</w:t>
      </w:r>
    </w:p>
    <w:p w:rsidR="00DB42FE" w:rsidRPr="003532DF" w:rsidRDefault="00DB42FE" w:rsidP="00616347">
      <w:pPr>
        <w:pStyle w:val="EndNoteBibliography"/>
        <w:ind w:left="360"/>
      </w:pPr>
      <w:r w:rsidRPr="003532DF">
        <w:t>https://www.frontiersin.org/article/10.3389/fevo.2020.00046</w:t>
      </w:r>
    </w:p>
    <w:p w:rsidR="00DB42FE" w:rsidRPr="003532DF" w:rsidRDefault="00DB42FE" w:rsidP="00616347">
      <w:pPr>
        <w:pStyle w:val="EndNoteBibliography"/>
        <w:spacing w:after="0"/>
        <w:ind w:left="360"/>
      </w:pPr>
      <w:r w:rsidRPr="003532DF">
        <w:t>Mining potash for fertilizer produces vast amounts of highly saline waste that is deposited in potash tailings piles. Rainfall washes the salts out, affecting the surrounding ecosystems. Only salt-tolerant organisms occur close to the piles, since other species cannot survive in these hypersaline conditions. Halophytic plant communities around tailings piles have been well investigated. However, studies exploring the biodiversity of the space behind the vegetation line that separates suitable salinities for plant growth from hostile conditions are rare. On top of the tailings piles, only micro-organisms thrive. This study, for the first time, explored the microalgae and cyanobacteria in biocrusts that inhabit potash tailings pile areas between the vegetation line and the pile body. Two biocrust types were studied: young biocrusts at or close to the tailings piles, and established biocrusts situated in the near surroundings. The estimated abundance of green algae, cyanobacteria and diatoms was studied using a direct microscopy approach, followed by the isolation and establishment of unialgal strains and morphological species determinations. Soil environmental characteristics were analyzed. Soil samples showed EC</w:t>
      </w:r>
      <w:r w:rsidRPr="003532DF">
        <w:rPr>
          <w:vertAlign w:val="subscript"/>
        </w:rPr>
        <w:t>Sat</w:t>
      </w:r>
      <w:r w:rsidRPr="003532DF">
        <w:t xml:space="preserve"> (electrical conductivity) values that drastically exceeded the scales commonly used to describe soil salinity, indicating extremely saline conditions. Indeed, the isolate composition was shaped by soil salinity parameters. Soil EC</w:t>
      </w:r>
      <w:r w:rsidRPr="003532DF">
        <w:rPr>
          <w:vertAlign w:val="subscript"/>
        </w:rPr>
        <w:t>Sat</w:t>
      </w:r>
      <w:r w:rsidRPr="003532DF">
        <w:t xml:space="preserve"> of young biocrusts tended to be higher than in established biocrusts, and filamentous green algae were most abundant. In contrast, established biocrusts tended to have a lower EC</w:t>
      </w:r>
      <w:r w:rsidRPr="003532DF">
        <w:rPr>
          <w:vertAlign w:val="subscript"/>
        </w:rPr>
        <w:t>Sat</w:t>
      </w:r>
      <w:r w:rsidRPr="003532DF">
        <w:t xml:space="preserve"> and were mostly dominated by filamentous cyanobacteria. Algal and cyanobacteria isolate composition differed significantly in young and established biocrusts, although the species number did not. Some of the salt-tolerant algal strains are assumed to be candidates for the formation of artificial biocrusts on the surface of the tailings. Attempts to “green” the piles by the establishment of higher plants to trap rainwater and therefore reduce the salt-output are difficult to apply. Plants require a thick layer of substrate to reduce the salinity, and the substrate easily erodes on the steep slopes. However, microalgae isolated from potash tailings pile areas seem promising, since they can survive on a thinner substrate layer and are already adapted to these hypersaline conditions.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Son, M., Pinnola, A., Gordon, S.C., Bassi, R., Schlau-Cohen, G.S., </w:t>
      </w:r>
      <w:r w:rsidR="00616347">
        <w:t xml:space="preserve">2020. </w:t>
      </w:r>
      <w:r w:rsidRPr="003532DF">
        <w:t>Observation of dissipative chlorophyll-to-carotenoid energy transfer in light-harvesting complex II in membrane nanodiscs. Nature Communications 11, 1295.</w:t>
      </w:r>
    </w:p>
    <w:p w:rsidR="00DB42FE" w:rsidRPr="003532DF" w:rsidRDefault="00DB42FE" w:rsidP="00616347">
      <w:pPr>
        <w:pStyle w:val="EndNoteBibliography"/>
        <w:ind w:left="360"/>
      </w:pPr>
      <w:r w:rsidRPr="003532DF">
        <w:t>https://doi.org/10.1038/s41467-020-15074-6</w:t>
      </w:r>
    </w:p>
    <w:p w:rsidR="00DB42FE" w:rsidRPr="003532DF" w:rsidRDefault="00DB42FE" w:rsidP="00616347">
      <w:pPr>
        <w:pStyle w:val="EndNoteBibliography"/>
        <w:spacing w:after="0"/>
        <w:ind w:left="360"/>
      </w:pPr>
      <w:r w:rsidRPr="003532DF">
        <w:t>Plants prevent photodamage under high light by dissipating excess energy as heat. Conformational changes of the photosynthetic antenna complexes activate dissipation by leveraging the sensitivity of the photophysics to the protein structure. The mechanisms of dissipation remain debated, largely due to two challenges. First, because of the ultrafast timescales and large energy gaps involved, measurements lacked the temporal or spectral requirements. Second, experiments have been performed in detergent, which can induce non-native conformations, or in vivo, where contributions from homologous antenna complexes cannot be disentangled. Here, we overcome both challenges by applying ultrabroadband two-dimensional electronic spectroscopy to the principal antenna complex, LHCII, in a near-native membrane. Our data provide evidence that the membrane enhances two dissipative pathways, one of which is a previously uncharacterized chlorophyll-to-carotenoid energy transfer. Our results highlight the sensitivity of the photophysics to local environment, which may control the balance between light harvesting and dissipation in vivo.</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Song, J., Rezaee, S., Guo, W., Hernandez, B., Puerto, M., Vargas, F.M., Hirasaki, G.J., Biswal, S.L., </w:t>
      </w:r>
      <w:r w:rsidR="00616347">
        <w:t xml:space="preserve">2020. </w:t>
      </w:r>
      <w:r w:rsidRPr="003532DF">
        <w:t>Evaluating physicochemical properties of crude oil as indicators of low-salinity–induced wettability alteration in carbonate minerals. Scientific Reports 10, 3762.</w:t>
      </w:r>
    </w:p>
    <w:p w:rsidR="00DB42FE" w:rsidRPr="003532DF" w:rsidRDefault="00DB42FE" w:rsidP="00616347">
      <w:pPr>
        <w:pStyle w:val="EndNoteBibliography"/>
        <w:ind w:left="360"/>
      </w:pPr>
      <w:r w:rsidRPr="003532DF">
        <w:t>https://doi.org/10.1038/s41598-020-60106-2</w:t>
      </w:r>
    </w:p>
    <w:p w:rsidR="00DB42FE" w:rsidRPr="003532DF" w:rsidRDefault="00DB42FE" w:rsidP="00616347">
      <w:pPr>
        <w:pStyle w:val="EndNoteBibliography"/>
        <w:spacing w:after="0"/>
        <w:ind w:left="360"/>
      </w:pPr>
      <w:r w:rsidRPr="003532DF">
        <w:t>The injection of low-salinity brine enhances oil recovery by altering the mineral wettability in carbonate reservoirs. However, the reported effectiveness of low-salinity water varies significantly in the literature, and the underlying mechanism of wettability alteration is controversial. In this work, we investigate the relationships between characteristics of crude oils and the oils’ response to low-salinity water in a spontaneous imbibition test, aiming (1) to identify suitable indicators of the effectiveness of low-salinity water and (2) to evaluate possible mechanisms of low-salinity–induced wettability alteration, including rock/oil charge repulsion and microdispersion formation. Seven oils are tested by spontaneous imbibition and fully characterized in terms of their acidity, zeta potential, interfacial tension, microdispersion propensity, water-soluble organics content and saturate-aromatic-resin-asphaltene fractionation. For the first time, the effectiveness of low-salinity water is found to positively correlate with the oil interfacial tension in low-salinity water. Oils with higher interfacial activity are found to respond more positively to low-salinity water. Moreover, cryogenic transmission electron microscopy images suggest that microdispersion is essentially macroemulsion, and its formation is an effective indicator – but not the root cause – of wettability alteration. The repulsive zeta potential for the rock and the oil in low-salinity water is found to be an insufficient condition for wettability alteration in carbonate minerals.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Song, J., Zhang, Y., Zhang, Y., Yuan, Q., Zhao, Y., Wang, X., Zou, S., Xu, W., Lai, S., </w:t>
      </w:r>
      <w:r w:rsidR="00616347">
        <w:t xml:space="preserve">2020. </w:t>
      </w:r>
      <w:r w:rsidRPr="003532DF">
        <w:t>A case study on the characterization of non-methane hydrocarbons over the South China Sea: Implication of land-sea air exchange. Science of The Total Environment 717, 134754.</w:t>
      </w:r>
    </w:p>
    <w:p w:rsidR="00DB42FE" w:rsidRPr="003532DF" w:rsidRDefault="00DB42FE" w:rsidP="00616347">
      <w:pPr>
        <w:pStyle w:val="EndNoteBibliography"/>
        <w:ind w:left="360"/>
      </w:pPr>
      <w:r w:rsidRPr="003532DF">
        <w:lastRenderedPageBreak/>
        <w:t>http://www.sciencedirect.com/science/article/pii/S004896971934745X</w:t>
      </w:r>
    </w:p>
    <w:p w:rsidR="00DB42FE" w:rsidRPr="003532DF" w:rsidRDefault="00DB42FE" w:rsidP="00616347">
      <w:pPr>
        <w:pStyle w:val="EndNoteBibliography"/>
        <w:spacing w:after="0"/>
        <w:ind w:left="360"/>
      </w:pPr>
      <w:r w:rsidRPr="003532DF">
        <w:t>We present the characteristics of non-methane hydrocarbons (NMHCs) over the northern South China Sea (SCS) during a cruise campaign from September to October 2013. The mixing ratios of the total NMHCs ranged from 1.45 to 7.13 ppbv with an average of 3.54 ± 1.81 ppbv. Among the measured NMHCs, alkanes and aromatics were the major groups, accounting for 45.8 ± 8.7% and 28.7 ± 12.3% of the total NMHCs, respectively. Correlations of NMHCs with typical source tracers suggest that light alkanes and benzene were largely contributed by vehicular exhaust via long-range transport, while the other aromatics might be related to industrial sources and marine ship emissions. The spatial variations of NMHCs were observed with higher mixing ratios of NMHCs in the samples collected in the offshore areas than those in the coastal areas. Air mass back-trajectory analysis and diagnostic ratios of NMHCs show that the elevations of the total NMHCs were caused by the regional pollution transport from the southeast coast of China and/or southern China. The ozone formation potentials (OFPs) of NMHCs were calculated and the results show that the aromatics associated with marine ship emissions were the important contributors to the total OFP. This study provides useful information on the interaction between continental outflow and marine atmosphere.</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Song, S., Wang, Z.A., Gonneea, M.E., Kroeger, K.D., Chu, S.N., Li, D., Liang, H., </w:t>
      </w:r>
      <w:r w:rsidR="00616347">
        <w:t xml:space="preserve">2020. </w:t>
      </w:r>
      <w:r w:rsidRPr="003532DF">
        <w:t>An important biogeochemical link between organic and inorganic carbon cycling: Effects of organic alkalinity on carbonate chemistry in coastal waters influenced by intertidal salt marshes. Geochimica et Cosmochimica Acta 275, 123-139.</w:t>
      </w:r>
    </w:p>
    <w:p w:rsidR="00DB42FE" w:rsidRPr="003532DF" w:rsidRDefault="00DB42FE" w:rsidP="00616347">
      <w:pPr>
        <w:pStyle w:val="EndNoteBibliography"/>
        <w:ind w:left="360"/>
      </w:pPr>
      <w:r w:rsidRPr="003532DF">
        <w:t>http://www.sciencedirect.com/science/article/pii/S001670372030123X</w:t>
      </w:r>
    </w:p>
    <w:p w:rsidR="00DB42FE" w:rsidRPr="003532DF" w:rsidRDefault="00DB42FE" w:rsidP="00616347">
      <w:pPr>
        <w:pStyle w:val="EndNoteBibliography"/>
        <w:spacing w:after="0"/>
        <w:ind w:left="360"/>
      </w:pPr>
      <w:r w:rsidRPr="003532DF">
        <w:t>Dissolved organic carbon (DOC) contains organic acid charge groups that contribute organic alkalinity (OrgAlk) to total alkalinity (TA). These effects are often ignored or treated as a calculation uncertainty in many aquatic CO</w:t>
      </w:r>
      <w:r w:rsidRPr="003532DF">
        <w:rPr>
          <w:vertAlign w:val="subscript"/>
        </w:rPr>
        <w:t>2</w:t>
      </w:r>
      <w:r w:rsidRPr="003532DF">
        <w:t xml:space="preserve"> studies. This study evaluated OrgAlk variability, sources, and characteristics in estuarine waters exchanged tidally with a groundwater-influenced salt marsh in the northeast USA. OrgAlk provided a biogeochemical link between organic and inorganic carbon cycling through its direct effects on pH, and thus CO</w:t>
      </w:r>
      <w:r w:rsidRPr="003532DF">
        <w:rPr>
          <w:vertAlign w:val="subscript"/>
        </w:rPr>
        <w:t>2</w:t>
      </w:r>
      <w:r w:rsidRPr="003532DF">
        <w:t xml:space="preserve"> system speciation and buffer capacity. Two main charge groups were identified including carboxylic and phenolic or amine groups. Terrestrial groundwater and in-situ production within salt marsh peat contributed OrgAlk to the tidal creek, with the former being a more significant source. Groundwater entering the marsh complex contained exceptionally high OrgAlk (&gt; 150 µmol kg</w:t>
      </w:r>
      <w:r w:rsidRPr="003532DF">
        <w:rPr>
          <w:vertAlign w:val="superscript"/>
        </w:rPr>
        <w:t>−1</w:t>
      </w:r>
      <w:r w:rsidRPr="003532DF">
        <w:t>), and these compounds were preferentially preserved within the DOC pool during groundwater transport and mixing with coastal water. OrgAlk:DOC ratios in groundwater and marsh-influenced water varied across space and time. This highlights the insufficiency of using a fixed proportion of DOC to account for organic acid charge groups. Accounting for OrgAlk altered H</w:t>
      </w:r>
      <w:r w:rsidRPr="003532DF">
        <w:rPr>
          <w:vertAlign w:val="superscript"/>
        </w:rPr>
        <w:t>+</w:t>
      </w:r>
      <w:r w:rsidRPr="003532DF">
        <w:t xml:space="preserve"> concentrations by </w:t>
      </w:r>
      <w:r w:rsidRPr="003532DF">
        <w:rPr>
          <w:rFonts w:ascii="Cambria Math" w:hAnsi="Cambria Math" w:cs="Cambria Math"/>
        </w:rPr>
        <w:t>∼</w:t>
      </w:r>
      <w:r w:rsidRPr="003532DF">
        <w:t>1</w:t>
      </w:r>
      <w:r w:rsidRPr="003532DF">
        <w:rPr>
          <w:rFonts w:cs="Calibri"/>
        </w:rPr>
        <w:t>–</w:t>
      </w:r>
      <w:r w:rsidRPr="003532DF">
        <w:t>41</w:t>
      </w:r>
      <w:r w:rsidRPr="003532DF">
        <w:rPr>
          <w:rFonts w:cs="Calibri"/>
        </w:rPr>
        <w:t> </w:t>
      </w:r>
      <w:r w:rsidRPr="003532DF">
        <w:t>nmol</w:t>
      </w:r>
      <w:r w:rsidRPr="003532DF">
        <w:rPr>
          <w:rFonts w:cs="Calibri"/>
        </w:rPr>
        <w:t> </w:t>
      </w:r>
      <w:r w:rsidRPr="003532DF">
        <w:t>kg</w:t>
      </w:r>
      <w:r w:rsidRPr="003532DF">
        <w:rPr>
          <w:rFonts w:cs="Calibri"/>
          <w:vertAlign w:val="superscript"/>
        </w:rPr>
        <w:t>−</w:t>
      </w:r>
      <w:r w:rsidRPr="003532DF">
        <w:rPr>
          <w:vertAlign w:val="superscript"/>
        </w:rPr>
        <w:t>1</w:t>
      </w:r>
      <w:r w:rsidRPr="003532DF">
        <w:t xml:space="preserve"> (equivalent to a pH change of </w:t>
      </w:r>
      <w:r w:rsidRPr="003532DF">
        <w:rPr>
          <w:rFonts w:ascii="Cambria Math" w:hAnsi="Cambria Math" w:cs="Cambria Math"/>
        </w:rPr>
        <w:t>∼</w:t>
      </w:r>
      <w:r w:rsidRPr="003532DF">
        <w:t>0.03</w:t>
      </w:r>
      <w:r w:rsidRPr="003532DF">
        <w:rPr>
          <w:rFonts w:cs="Calibri"/>
        </w:rPr>
        <w:t>–</w:t>
      </w:r>
      <w:r w:rsidRPr="003532DF">
        <w:t xml:space="preserve">0.26), </w:t>
      </w:r>
      <w:r w:rsidRPr="003532DF">
        <w:rPr>
          <w:i/>
        </w:rPr>
        <w:t>p</w:t>
      </w:r>
      <w:r w:rsidRPr="003532DF">
        <w:t>CO</w:t>
      </w:r>
      <w:r w:rsidRPr="003532DF">
        <w:rPr>
          <w:vertAlign w:val="subscript"/>
        </w:rPr>
        <w:t>2</w:t>
      </w:r>
      <w:r w:rsidRPr="003532DF">
        <w:t xml:space="preserve"> by </w:t>
      </w:r>
      <w:r w:rsidRPr="003532DF">
        <w:rPr>
          <w:rFonts w:ascii="Cambria Math" w:hAnsi="Cambria Math" w:cs="Cambria Math"/>
        </w:rPr>
        <w:t>∼</w:t>
      </w:r>
      <w:r w:rsidRPr="003532DF">
        <w:t>30</w:t>
      </w:r>
      <w:r w:rsidRPr="003532DF">
        <w:rPr>
          <w:rFonts w:cs="Calibri"/>
        </w:rPr>
        <w:t>–</w:t>
      </w:r>
      <w:r w:rsidRPr="003532DF">
        <w:t xml:space="preserve">1600 </w:t>
      </w:r>
      <w:r w:rsidRPr="003532DF">
        <w:rPr>
          <w:rFonts w:cs="Calibri"/>
        </w:rPr>
        <w:t>μ</w:t>
      </w:r>
      <w:r w:rsidRPr="003532DF">
        <w:t xml:space="preserve">atm and buffer capacity by </w:t>
      </w:r>
      <w:r w:rsidRPr="003532DF">
        <w:rPr>
          <w:rFonts w:ascii="Cambria Math" w:hAnsi="Cambria Math" w:cs="Cambria Math"/>
        </w:rPr>
        <w:t>∼</w:t>
      </w:r>
      <w:r w:rsidRPr="003532DF">
        <w:t>0.00</w:t>
      </w:r>
      <w:r w:rsidRPr="003532DF">
        <w:rPr>
          <w:rFonts w:cs="Calibri"/>
        </w:rPr>
        <w:t>–</w:t>
      </w:r>
      <w:r w:rsidRPr="003532DF">
        <w:t>0.14</w:t>
      </w:r>
      <w:r w:rsidRPr="003532DF">
        <w:rPr>
          <w:rFonts w:cs="Calibri"/>
        </w:rPr>
        <w:t> </w:t>
      </w:r>
      <w:r w:rsidRPr="003532DF">
        <w:t>mmol</w:t>
      </w:r>
      <w:r w:rsidRPr="003532DF">
        <w:rPr>
          <w:rFonts w:cs="Calibri"/>
        </w:rPr>
        <w:t> </w:t>
      </w:r>
      <w:r w:rsidRPr="003532DF">
        <w:t>kg</w:t>
      </w:r>
      <w:r w:rsidRPr="003532DF">
        <w:rPr>
          <w:rFonts w:cs="Calibri"/>
          <w:vertAlign w:val="superscript"/>
        </w:rPr>
        <w:t>−</w:t>
      </w:r>
      <w:r w:rsidRPr="003532DF">
        <w:rPr>
          <w:vertAlign w:val="superscript"/>
        </w:rPr>
        <w:t>1</w:t>
      </w:r>
      <w:r w:rsidRPr="003532DF">
        <w:t xml:space="preserve"> at the relative OrgAlk contributions of 0.9</w:t>
      </w:r>
      <w:r w:rsidRPr="003532DF">
        <w:rPr>
          <w:rFonts w:cs="Calibri"/>
        </w:rPr>
        <w:t>–</w:t>
      </w:r>
      <w:r w:rsidRPr="003532DF">
        <w:t>4.3% of TA observed in the marsh-influenced tidal water. Thus, OrgAlk may have a significant influence on coastal inorganic carbon cycling. Further theoretical calculations confirm that these concentrations of OrgAlk would have sizable impacts on both carbonate speciation and, ultimately, air-sea CO</w:t>
      </w:r>
      <w:r w:rsidRPr="003532DF">
        <w:rPr>
          <w:vertAlign w:val="subscript"/>
        </w:rPr>
        <w:t>2</w:t>
      </w:r>
      <w:r w:rsidRPr="003532DF">
        <w:t xml:space="preserve"> fluxes in different coastal environments, ranging from estuarine to shelf waters. A new conceptual model linking organic and inorganic carbon cycling for coastal waters is proposed to highlight the sources and sinks of organic acid charge groups, as well as their biogeochemical behaviors and mechanistic control on the CO</w:t>
      </w:r>
      <w:r w:rsidRPr="003532DF">
        <w:rPr>
          <w:vertAlign w:val="subscript"/>
        </w:rPr>
        <w:t>2</w:t>
      </w:r>
      <w:r w:rsidRPr="003532DF">
        <w:t xml:space="preserve"> system.</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lastRenderedPageBreak/>
        <w:t xml:space="preserve">Song, Y., Chen, D., Guo, C., Zhou, X., </w:t>
      </w:r>
      <w:r w:rsidR="00616347">
        <w:t xml:space="preserve">2020. </w:t>
      </w:r>
      <w:r w:rsidRPr="003532DF">
        <w:t>Depositional characteristics of microbial carbonates from the Lower Xiaoerbulak Formation in the Xiaoerbulake section, Tarim Basin. Acta Sedimentologica Sinica 38, 55-63 http://www.cjxb.ac.cn/EN/abstract/abstract4071.shtml</w:t>
      </w:r>
    </w:p>
    <w:p w:rsidR="00DB42FE" w:rsidRPr="003532DF" w:rsidRDefault="00DB42FE" w:rsidP="00616347">
      <w:pPr>
        <w:pStyle w:val="EndNoteBibliography"/>
        <w:spacing w:after="0"/>
        <w:ind w:left="360"/>
      </w:pPr>
      <w:r w:rsidRPr="003532DF">
        <w:t>Except for a few dozen meters of ribbon mudstone in the lower part,the Xiaoerbulake section of the Tarim Basin,NW China,most of the Lower Xiaoerbulake Formation deposits contain microbial carbonates; however, few researchers have paid attention on this. Detailed observations of field outcrops and thin sections in this study has identified and classified these microbial carbonates,and restored the local depositional paleoenvironment. Six lithofacies are found in the Lower Xiaoerbulake Formation deposit, including coarse-laminated and fenestral thrombolites in the intertidal zone,and thick-bedded and massive thrombolites restricted to the intermediate-to-shallow subtidal region. Various types of microbial carbonates are present in different locations,depending on ancient sea-level fluctuations, topography and microbial communities.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Sorensen, J.W., Shade, A., </w:t>
      </w:r>
      <w:r w:rsidR="00616347">
        <w:t xml:space="preserve">2020. </w:t>
      </w:r>
      <w:r w:rsidRPr="003532DF">
        <w:t>Dormancy dynamics and dispersal contribute to soil microbiome resilience. Philosophical Transactions of the Royal Society B: Biological Sciences 375, 20190255.</w:t>
      </w:r>
    </w:p>
    <w:p w:rsidR="00DB42FE" w:rsidRPr="003532DF" w:rsidRDefault="00DB42FE" w:rsidP="00616347">
      <w:pPr>
        <w:pStyle w:val="EndNoteBibliography"/>
        <w:ind w:left="360"/>
      </w:pPr>
      <w:r w:rsidRPr="003532DF">
        <w:t>https://doi.org/10.1098/rstb.2019.0255</w:t>
      </w:r>
    </w:p>
    <w:p w:rsidR="00DB42FE" w:rsidRPr="003532DF" w:rsidRDefault="00DB42FE" w:rsidP="00616347">
      <w:pPr>
        <w:pStyle w:val="EndNoteBibliography"/>
        <w:spacing w:after="0"/>
        <w:ind w:left="360"/>
      </w:pPr>
      <w:r w:rsidRPr="003532DF">
        <w:t>In disturbance ecology, stability is composed of resistance to change and resilience towards recovery after the disturbance subsides. Two key microbial mechanisms that can support microbiome stability include dormancy and dispersal. Specifically, microbial populations that are sensitive to disturbance can be re-seeded by local dormant pools of viable and reactivated cells, or by immigrants dispersed from regional metacommunities. However, it is difficult to quantify the contributions of these mechanisms to stability without, first, distinguishing the active from inactive membership, and, second, distinguishing the populations recovered by local resuscitation from those recovered by dispersed immigrants. Here, we investigate the contributions of dormancy dynamics (activation and inactivation), and dispersal to soil microbial community resistance and resilience. We designed a replicated, 45-week time-series experiment to quantify the responses of the active soil microbial community to a thermal press disturbance, including unwarmed control mesocosms, disturbed mesocosms without dispersal, and disturbed mesocosms with dispersal after the release of the stressor. Communities changed in structure within one week of warming. Though the disturbed mesocosms did not fully recover within 29 weeks, resuscitation of thermotolerant taxa was key for community transition during the press, and both resuscitation of opportunistic taxa and immigration contributed to community resilience. Also, mesocosms with dispersal were more resilient than mesocosms without. This work advances the mechanistic understanding of how microbiomes respond to disturbances in their environment.</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Stankevica, K., Vincevica-Gaile, Z., Klavins, M., Kalnina, L., Stivrins, N., Grudzinska, I., Kaup, E., </w:t>
      </w:r>
      <w:r w:rsidR="00616347">
        <w:t xml:space="preserve">2020. </w:t>
      </w:r>
      <w:r w:rsidRPr="003532DF">
        <w:t>Accumulation of metals and changes in composition of freshwater lake organic sediments during the Holocene. Chemical Geology 539, 119502.</w:t>
      </w:r>
    </w:p>
    <w:p w:rsidR="00DB42FE" w:rsidRPr="003532DF" w:rsidRDefault="00DB42FE" w:rsidP="00616347">
      <w:pPr>
        <w:pStyle w:val="EndNoteBibliography"/>
        <w:ind w:left="360"/>
      </w:pPr>
      <w:r w:rsidRPr="003532DF">
        <w:t>http://www.sciencedirect.com/science/article/pii/S0009254120300413</w:t>
      </w:r>
    </w:p>
    <w:p w:rsidR="00DB42FE" w:rsidRPr="003532DF" w:rsidRDefault="00DB42FE" w:rsidP="00616347">
      <w:pPr>
        <w:pStyle w:val="EndNoteBibliography"/>
        <w:spacing w:after="0"/>
        <w:ind w:left="360"/>
      </w:pPr>
      <w:r w:rsidRPr="003532DF">
        <w:t xml:space="preserve">The distribution of metals in the strata of sediments deposited in the freshwater environment formed during the Holocene in the territory of Latvia has been studied rather insufficiently. Considering the large volume of accumulated organic matter in sediments, studies on the content of metallic elements in sediments can help to determine the peculiarities of the metal accumulation </w:t>
      </w:r>
      <w:r w:rsidRPr="003532DF">
        <w:lastRenderedPageBreak/>
        <w:t>process in limnic systems and the biogeochemical cycling of metals. Lake Pilvelis, which is located in the eastern part of Latvia (the northern part of Europe), was selected as the main study site. Lake Pilvelis is a small lake of a glacial origin, and &gt;90% of its depression is filled with organic-rich sediments. The development stages of Lake Pilvelis since circa 10,000 cal BP are described in detail via reconstruction of the Holocene palaeoenvironmental conditions using multi-proxy sedimentary records. The elemental composition and content of metallic elements in sapropel are analysed with the main objectives of characterising the accumulation rate of metals in the full profile of sapropel and determining the anthropogenic impact depending on the evolution of the lake and the genesis of sediment organic matter. The correlation among the components characterising sediments such as sapropel and metallic elements revealed that the elemental distribution could be divided into three main groups according to the content of the elements associated with organic compounds (e.g., for Zn and Mn) and mineral compounds (for Ni, Co, Cr, K, Fe, Mg, and Cu). Ni and Co are partly associated with mineral compounds and partly associated with carbonates. A principal component analysis revealed the main factors indicating the origin of metallic elements and the accumulation tendencies of metals in sediment layers: the input of the mineral matter, the characteristics of organic matter, and human impact. The content of metallic elements in sapropel from Lake Pilvelis is mainly affected by the composition of mineral matter, not by the size of the particles.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Stefanuto, P.-H., Focant, J.-F., </w:t>
      </w:r>
      <w:r w:rsidR="00616347">
        <w:t xml:space="preserve">2020. </w:t>
      </w:r>
      <w:r w:rsidRPr="003532DF">
        <w:t>Chapter 3 - Columns and column configurations, in: Snow, N.H. (Ed.), Separation Science and Technology. Academic Press, pp. 69-88.</w:t>
      </w:r>
    </w:p>
    <w:p w:rsidR="00DB42FE" w:rsidRPr="003532DF" w:rsidRDefault="00DB42FE" w:rsidP="00616347">
      <w:pPr>
        <w:pStyle w:val="EndNoteBibliography"/>
        <w:ind w:left="360"/>
      </w:pPr>
      <w:r w:rsidRPr="003532DF">
        <w:t>http://www.sciencedirect.com/science/article/pii/B9780128137451000039</w:t>
      </w:r>
    </w:p>
    <w:p w:rsidR="00DB42FE" w:rsidRPr="003532DF" w:rsidRDefault="00DB42FE" w:rsidP="00616347">
      <w:pPr>
        <w:pStyle w:val="EndNoteBibliography"/>
        <w:spacing w:after="0"/>
        <w:ind w:left="360"/>
      </w:pPr>
      <w:r w:rsidRPr="003532DF">
        <w:t>Two-dimensional gas chromatography (GC×GC) is a powerful separation technique, allowing to reach unique separation resolution. GC×GC is thus well suited for the characterization of complex volatile and semi-volatile mixtures. This high peak capacity results from the addition of an extra GC dimension. GC×GC can further offer structured separations into the available 2D chromatographic space, supporting compound classification. Obtaining the best out of a GC×GC separation however requires a serious and expert-dependent optimization of the analytical parameters.On the hardware side, a GC×GC system is highly similar to a GC system. The addition of a second column and an interface (a modulator) between the two columns are the only addition. In addition to the general optimization of chromatographic parameters, the efficiency of the separation strongly relies on the column combinations and modulation parameters. Currently, the selection of the column set as well as the fine tuning of most analytical parameters relies mainly on user’s experience and empirical development that can miss latest developments in column technologies. The resulting optimization workflow can be time consuming and often conduct to not fully optimal methods. A comprehensive method optimization is becoming more and more complex and new workflows are required.Nowadays, this field is ongoing a paradigm shift. With the continuous development of model-based separation simulation, there is growing interest on in silico method optimization. In the future, the capacity to predict the optimal analytical conditions would make complex techniques, such as GC×GC, more accessible by decreasing the time and expertise required for the development and optimization.</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Stein, K., Timmermann, A., Kwon, E.Y., Friedrich, T., </w:t>
      </w:r>
      <w:r w:rsidR="00616347">
        <w:t xml:space="preserve">2020. </w:t>
      </w:r>
      <w:r w:rsidRPr="003532DF">
        <w:t>Timing and magnitude of Southern Ocean sea ice/carbon cycle feedbacks. Proceedings of the National Academy of Sciences 117, 4498.</w:t>
      </w:r>
    </w:p>
    <w:p w:rsidR="00DB42FE" w:rsidRPr="003532DF" w:rsidRDefault="00DB42FE" w:rsidP="00616347">
      <w:pPr>
        <w:pStyle w:val="EndNoteBibliography"/>
        <w:ind w:left="360"/>
      </w:pPr>
      <w:r w:rsidRPr="003532DF">
        <w:t>https://doi.org/10.1073/pnas.1908670117</w:t>
      </w:r>
    </w:p>
    <w:p w:rsidR="00DB42FE" w:rsidRPr="003532DF" w:rsidRDefault="00DB42FE" w:rsidP="00616347">
      <w:pPr>
        <w:pStyle w:val="EndNoteBibliography"/>
        <w:ind w:left="360"/>
      </w:pPr>
      <w:r w:rsidRPr="003532DF">
        <w:lastRenderedPageBreak/>
        <w:t>Significance: Atmospheric carbon was sequestered in the ocean during glacial periods, but the processes responsible are not understood. Southern Ocean (SO) sea ice has been proposed as a link between several processes of carbon sequestration. This study analyzes the effect of SO sea ice on ocean ventilation in a 784,000-y climate model simulation. The results show that SO sea ice can dramatically reduce ocean ventilation by reducing the atmospheric exposure time of surface waters and by decreasing the vertical mixing of deep ocean waters. Sensitivity tests of the two mechanisms with a carbon cycle model show a 40-ppm reduction of atmospheric CO 2 CO2, half the glacial/interglacial difference, with ocean stratification playing the leading role in both magnitude and timing.</w:t>
      </w:r>
    </w:p>
    <w:p w:rsidR="00DB42FE" w:rsidRPr="003532DF" w:rsidRDefault="00DB42FE" w:rsidP="00616347">
      <w:pPr>
        <w:pStyle w:val="EndNoteBibliography"/>
        <w:spacing w:after="0"/>
        <w:ind w:left="360"/>
      </w:pPr>
      <w:r w:rsidRPr="003532DF">
        <w:t>Abstract: The Southern Ocean (SO) played a prominent role in the exchange of carbon between ocean and atmosphere on glacial timescales through its regulation of deep ocean ventilation. Previous studies indicated that SO sea ice could dynamically link several processes of carbon sequestration, but these studies relied on models with simplified ocean and sea ice dynamics or snapshot simulations with general circulation models. Here, we use a transient run of an intermediate complexity climate model, covering the past eight glacial cycles, to investigate the orbital-scale dynamics of deep ocean ventilation changes due to SO sea ice. Cold climates increase sea ice cover, sea ice export, and Antarctic Bottom Water formation, which are accompanied by increased SO upwelling, stronger poleward export of Circumpolar Deep Water, and a reduction of the atmospheric exposure time of surface waters by a factor of 10. Moreover, increased brine formation around Antarctica enhances deep ocean stratification, which could act to decrease vertical mixing by a factor of four compared with the current climate. Sensitivity tests with a steady-state carbon cycle model indicate that the two mechanisms combined can reduce atmospheric carbon by 40 ppm, with ocean stratification acting early within a glacial cycle to amplify the carbon cycle response.</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Stocker, T.F., </w:t>
      </w:r>
      <w:r w:rsidR="00616347">
        <w:t xml:space="preserve">2020. </w:t>
      </w:r>
      <w:r w:rsidRPr="003532DF">
        <w:t>Surprises for climate stability. Science 367, 1425-1426.</w:t>
      </w:r>
    </w:p>
    <w:p w:rsidR="00DB42FE" w:rsidRPr="003532DF" w:rsidRDefault="00DB42FE" w:rsidP="00616347">
      <w:pPr>
        <w:pStyle w:val="EndNoteBibliography"/>
        <w:ind w:left="360"/>
      </w:pPr>
      <w:r w:rsidRPr="003532DF">
        <w:t>http://science.sciencemag.org/content/367/6485/1425.abstract</w:t>
      </w:r>
    </w:p>
    <w:p w:rsidR="00DB42FE" w:rsidRPr="003532DF" w:rsidRDefault="00DB42FE" w:rsidP="00616347">
      <w:pPr>
        <w:pStyle w:val="EndNoteBibliography"/>
        <w:ind w:left="360"/>
      </w:pPr>
      <w:r w:rsidRPr="003532DF">
        <w:t>Instabilities in Earth's climate system have intrigued scientists ever since analyses from Greenland ice cores revealed climate variations over the last hundred thousand years (</w:t>
      </w:r>
      <w:r w:rsidRPr="003532DF">
        <w:rPr>
          <w:i/>
          <w:u w:val="single"/>
        </w:rPr>
        <w:t>1</w:t>
      </w:r>
      <w:r w:rsidRPr="003532DF">
        <w:t xml:space="preserve">, </w:t>
      </w:r>
      <w:r w:rsidRPr="003532DF">
        <w:rPr>
          <w:i/>
          <w:u w:val="single"/>
        </w:rPr>
        <w:t>2</w:t>
      </w:r>
      <w:r w:rsidRPr="003532DF">
        <w:t>). Abrupt changes were not singular events but a pervasive feature of the last ice age. Studies pointed to the ocean, specifically the Atlantic Meridional Overturning Circulation (AMOC), as a possible origin of these large swings (</w:t>
      </w:r>
      <w:r w:rsidRPr="003532DF">
        <w:rPr>
          <w:i/>
          <w:u w:val="single"/>
        </w:rPr>
        <w:t>3</w:t>
      </w:r>
      <w:r w:rsidRPr="003532DF">
        <w:t xml:space="preserve">, </w:t>
      </w:r>
      <w:r w:rsidRPr="003532DF">
        <w:rPr>
          <w:i/>
          <w:u w:val="single"/>
        </w:rPr>
        <w:t>4</w:t>
      </w:r>
      <w:r w:rsidRPr="003532DF">
        <w:t xml:space="preserve">). Their occurrence in the distant past of the last ice age and their absence in the past 8000 years suggested that we are living in times of relative climate stability. On page 1485 of this issue, Galaasen </w:t>
      </w:r>
      <w:r w:rsidRPr="003532DF">
        <w:rPr>
          <w:i/>
        </w:rPr>
        <w:t>et al.</w:t>
      </w:r>
      <w:r w:rsidRPr="003532DF">
        <w:t xml:space="preserve"> (</w:t>
      </w:r>
      <w:r w:rsidRPr="003532DF">
        <w:rPr>
          <w:i/>
          <w:u w:val="single"/>
        </w:rPr>
        <w:t>5</w:t>
      </w:r>
      <w:r w:rsidRPr="003532DF">
        <w:t>) report that over the past 500,000 years, there were disruptions in the formation of the North Atlantic Deep Water mass—an essential driver of the AMOC—during interglacial periods. This suggests that substantial reductions or instabilities of the AMOC could also occur in a future warmer climate.</w:t>
      </w:r>
    </w:p>
    <w:p w:rsidR="00DB42FE" w:rsidRPr="003532DF" w:rsidRDefault="00DB42FE" w:rsidP="00616347">
      <w:pPr>
        <w:pStyle w:val="EndNoteBibliography"/>
        <w:ind w:left="360"/>
      </w:pPr>
      <w:r w:rsidRPr="003532DF">
        <w:t xml:space="preserve">The AMOC transports warm surface waters from the Southern Hemisphere to the north. When these waters reach the northern North Atlantic, they lose heat, and the increased density causes them to sink, creating the North Atlantic Deep Water mass. Galaasen </w:t>
      </w:r>
      <w:r w:rsidRPr="003532DF">
        <w:rPr>
          <w:i/>
        </w:rPr>
        <w:t>et al.</w:t>
      </w:r>
      <w:r w:rsidRPr="003532DF">
        <w:t xml:space="preserve"> provide a high-resolution sediment record from a core situated in the deep return path of the AMOC. It shows substantial and rapid changes in past warm periods.</w:t>
      </w:r>
    </w:p>
    <w:p w:rsidR="00DB42FE" w:rsidRPr="003532DF" w:rsidRDefault="00DB42FE" w:rsidP="00616347">
      <w:pPr>
        <w:pStyle w:val="EndNoteBibliography"/>
        <w:ind w:left="360"/>
      </w:pPr>
      <w:r w:rsidRPr="003532DF">
        <w:lastRenderedPageBreak/>
        <w:t xml:space="preserve">The Eirik Drift, located south of Cape Farewell, Greenland, is formed by the North Atlantic deep current. The sedimentation rate at site U1305 in the deep parts of this drift permits an unprecedented view into the dynamics of the deep northern North Atlantic ocean. Galaasen </w:t>
      </w:r>
      <w:r w:rsidRPr="003532DF">
        <w:rPr>
          <w:i/>
        </w:rPr>
        <w:t>et al.</w:t>
      </w:r>
      <w:r w:rsidRPr="003532DF">
        <w:t xml:space="preserve"> discovered large and abrupt water mass changes during each of the warm interglacial periods during the last 500,000 years. At a resolution of better than a century, stable isotope ratios of carbon, measured on the calcareous shells of bottom-dwelling foraminifera, exhibited large and irregular swings of water mass distribution, a frequent push and pull between waters of northern and southern origin.</w:t>
      </w:r>
    </w:p>
    <w:p w:rsidR="00DB42FE" w:rsidRPr="003532DF" w:rsidRDefault="00DB42FE" w:rsidP="00616347">
      <w:pPr>
        <w:pStyle w:val="EndNoteBibliography"/>
        <w:ind w:left="360"/>
      </w:pPr>
      <w:r w:rsidRPr="003532DF">
        <w:t>High values of carbon isotope ratios indicate that the formation of North Atlantic Deep Water is vigorous and associated with strong AMOC. Low values, by contrast, suggest a weak or absent overturning with deepwater mass characteristics suggestive of a southern origin. Transitions between apparently two states occur rapidly, whereas either AMOC state can last for several centuries. This signature, so familiar during the last ice age (</w:t>
      </w:r>
      <w:r w:rsidRPr="003532DF">
        <w:rPr>
          <w:i/>
          <w:u w:val="single"/>
        </w:rPr>
        <w:t>6</w:t>
      </w:r>
      <w:r w:rsidRPr="003532DF">
        <w:t>) and before (</w:t>
      </w:r>
      <w:r w:rsidRPr="003532DF">
        <w:rPr>
          <w:i/>
          <w:u w:val="single"/>
        </w:rPr>
        <w:t>7</w:t>
      </w:r>
      <w:r w:rsidRPr="003532DF">
        <w:t xml:space="preserve">), was unexpected in warm climates. That Galaasen </w:t>
      </w:r>
      <w:r w:rsidRPr="003532DF">
        <w:rPr>
          <w:i/>
        </w:rPr>
        <w:t>et al.</w:t>
      </w:r>
      <w:r w:rsidRPr="003532DF">
        <w:t xml:space="preserve"> observed this during the interglacial periods suggests that this ocean circulation system may be much less stable than previously thought.</w:t>
      </w:r>
    </w:p>
    <w:p w:rsidR="00DB42FE" w:rsidRPr="003532DF" w:rsidRDefault="00DB42FE" w:rsidP="00616347">
      <w:pPr>
        <w:pStyle w:val="EndNoteBibliography"/>
        <w:ind w:left="360"/>
      </w:pPr>
      <w:r w:rsidRPr="003532DF">
        <w:t>In the Holocene (the present warm epoch), fluctuations in the carbon isotope ratio in deep-ocean sediments are small, except for a well-documented 8200-year cooling event. But in previous warm periods, most notably during Marine Isotope Stage 11c some 400,000 years ago, many century-scale fluctuations in deep-water mass characteristics are registered at site U1305 of the Eirik Drift. Changes in deep ocean circulation are often associated with ice-rafted debris that originates from large ice sheets surrounding the North Atlantic basin. This debris is found in many sediment cores in the North Atlantic (</w:t>
      </w:r>
      <w:r w:rsidRPr="003532DF">
        <w:rPr>
          <w:i/>
          <w:u w:val="single"/>
        </w:rPr>
        <w:t>8</w:t>
      </w:r>
      <w:r w:rsidRPr="003532DF">
        <w:t>). However, in the record of Galaasen et al. from Eirik Drift, these fluctuations occur primarily in the absence of such debris, which suggests that the deep ocean circulation system may be naturally unstable or sensitive to rather small perturbations.</w:t>
      </w:r>
    </w:p>
    <w:p w:rsidR="00DB42FE" w:rsidRPr="003532DF" w:rsidRDefault="00DB42FE" w:rsidP="00616347">
      <w:pPr>
        <w:pStyle w:val="EndNoteBibliography"/>
        <w:ind w:left="360"/>
      </w:pPr>
      <w:r w:rsidRPr="003532DF">
        <w:t>Galaasen et al. underpin their climate reconstruction with simulations over 10,000 years, using a coupled climate model of reduced complexity. Their results show that under the climate conditions of 125,000 years ago (the previous interglacial), the AMOC evolves from small-amplitude centennial variations through a period of nonperiodic self-sustained fluctuations of the AMOC with large amplitudes (see the figure). Fluctuations manifest themselves as two states: a stronger one with an AMOC close to the mean of today and a weaker state. Transitions between these two states are faster than the residence time in either state. This resembles the fingerprint of a nonlinear system with two attractors (</w:t>
      </w:r>
      <w:r w:rsidRPr="003532DF">
        <w:rPr>
          <w:i/>
          <w:u w:val="single"/>
        </w:rPr>
        <w:t>9</w:t>
      </w:r>
      <w:r w:rsidRPr="003532DF">
        <w:t>). Their model is forced by the Milankovitch cycles (</w:t>
      </w:r>
      <w:r w:rsidRPr="003532DF">
        <w:rPr>
          <w:i/>
          <w:u w:val="single"/>
        </w:rPr>
        <w:t>10</w:t>
      </w:r>
      <w:r w:rsidRPr="003532DF">
        <w:t>), the slow changes of solar energy input caused by variations in the orientation of Earth's rotation axis with respect to the Sun. This results in small changes of the seasonal distribution of solar irradiation. In a certain window lasting several millennia, the simulated AMOC shows fluctuations with amplitudes larger by as much as a factor of 5. Beyond this window, the variability decreases and the circulation again becomes more stable . In a nonlinear system, unstable chaotic behavior can emerge when a parameter is changed slowly and moves into a critical range of this parameter (</w:t>
      </w:r>
      <w:r w:rsidRPr="003532DF">
        <w:rPr>
          <w:i/>
          <w:u w:val="single"/>
        </w:rPr>
        <w:t>9</w:t>
      </w:r>
      <w:r w:rsidRPr="003532DF">
        <w:t>). Outside this range, the same nonlinear system may be strictly periodic or even stationary.</w:t>
      </w:r>
    </w:p>
    <w:p w:rsidR="00DB42FE" w:rsidRPr="003532DF" w:rsidRDefault="00DB42FE" w:rsidP="00616347">
      <w:pPr>
        <w:pStyle w:val="EndNoteBibliography"/>
        <w:ind w:left="360"/>
      </w:pPr>
      <w:r w:rsidRPr="003532DF">
        <w:t>Large changes in overturning circulation without an external perturbation were also identified in other coupled ocean-atmosphere models in a specific parameter window (</w:t>
      </w:r>
      <w:r w:rsidRPr="003532DF">
        <w:rPr>
          <w:i/>
          <w:u w:val="single"/>
        </w:rPr>
        <w:t>11</w:t>
      </w:r>
      <w:r w:rsidRPr="003532DF">
        <w:t>). The largest amplitudes of these self-sustained oscillations are found close to the location of the sediment core that Galaasen et al. studied. However, in that study, self-sustained oscillations are periodic and predictable, which is in contrast to the more chaotic fluctuations in the paleoceanographic reconstruction from Eirik Drift and in the model simulation depicted in the figure.</w:t>
      </w:r>
    </w:p>
    <w:p w:rsidR="00DB42FE" w:rsidRPr="003532DF" w:rsidRDefault="00DB42FE" w:rsidP="00616347">
      <w:pPr>
        <w:pStyle w:val="EndNoteBibliography"/>
        <w:ind w:left="360"/>
      </w:pPr>
      <w:r w:rsidRPr="003532DF">
        <w:lastRenderedPageBreak/>
        <w:t>Models show that a reduction of AMOC causes a cooling of the sea surface of the North Atlantic with consequent substantial regional cooling. Galaasen et al. do not provide a reconstruction of concurrent surface ocean conditions and their changes on the centennial time scale during the past four interglacials. It would be an important avenue of further research to quantify the climatic impact of these AMOC fluctuations.</w:t>
      </w:r>
    </w:p>
    <w:p w:rsidR="00DB42FE" w:rsidRPr="003532DF" w:rsidRDefault="00DB42FE" w:rsidP="00616347">
      <w:pPr>
        <w:pStyle w:val="EndNoteBibliography"/>
        <w:ind w:left="360"/>
      </w:pPr>
      <w:r w:rsidRPr="003532DF">
        <w:t>Nevertheless, Galaasen et al. add to the debate on tipping points in the climate system. So far, climate models seem to agree that the AMOC will gradually decline over the 21st century, owing to the increase in atmospheric CO</w:t>
      </w:r>
      <w:r w:rsidRPr="003532DF">
        <w:rPr>
          <w:vertAlign w:val="subscript"/>
        </w:rPr>
        <w:t>2</w:t>
      </w:r>
      <w:r w:rsidRPr="003532DF">
        <w:t xml:space="preserve"> concentrations and the consequent heating (</w:t>
      </w:r>
      <w:r w:rsidRPr="003532DF">
        <w:rPr>
          <w:i/>
          <w:u w:val="single"/>
        </w:rPr>
        <w:t>12</w:t>
      </w:r>
      <w:r w:rsidRPr="003532DF">
        <w:t>). This evolution may actually be irreversible. In addition to slow, irreversible, or abrupt transitions of the AMOC, there may also be the possibility that a gradual anthropogenic push of the climate system would move it into a state where variability becomes larger in amplitude and more chaotic. Galaasen et al. show that this was a possibility for the AMOC in the past and that such behavior should be factored in when assessing the risk of tipping points in the future. Much will be learned about tipping points in the climate system through research within the European Commission's Horizon 2020 program, and continued monitoring, which is essential (</w:t>
      </w:r>
      <w:r w:rsidRPr="003532DF">
        <w:rPr>
          <w:i/>
          <w:u w:val="single"/>
        </w:rPr>
        <w:t>13</w:t>
      </w:r>
      <w:r w:rsidRPr="003532DF">
        <w:t>). But a comprehensive assessment about tipping points, their risks, and their impact is still missing. To provide robust and actionable information to decision-makers and people, this should be a priority for the seventh assessment cycle of the Intergovernmental Panel on Climate Change.</w:t>
      </w:r>
    </w:p>
    <w:p w:rsidR="00DB42FE" w:rsidRPr="003532DF" w:rsidRDefault="00DB42FE" w:rsidP="000A2352">
      <w:pPr>
        <w:pStyle w:val="EndNoteBibliography"/>
        <w:spacing w:after="0"/>
        <w:ind w:left="720" w:hanging="360"/>
      </w:pPr>
      <w:r w:rsidRPr="003532DF">
        <w:t>References and Notes</w:t>
      </w:r>
    </w:p>
    <w:p w:rsidR="00DB42FE" w:rsidRPr="003532DF" w:rsidRDefault="00DB42FE" w:rsidP="000A2352">
      <w:pPr>
        <w:pStyle w:val="EndNoteBibliography"/>
        <w:spacing w:after="0"/>
        <w:ind w:left="720" w:hanging="360"/>
      </w:pPr>
      <w:r w:rsidRPr="003532DF">
        <w:t>1.   W. Dansgaard et al., Nature 364, 218 (1993).</w:t>
      </w:r>
    </w:p>
    <w:p w:rsidR="00DB42FE" w:rsidRPr="003532DF" w:rsidRDefault="00DB42FE" w:rsidP="000A2352">
      <w:pPr>
        <w:pStyle w:val="EndNoteBibliography"/>
        <w:spacing w:after="0"/>
        <w:ind w:left="720" w:hanging="360"/>
      </w:pPr>
      <w:r w:rsidRPr="003532DF">
        <w:t>2.   W. Dansgaard et al., in Climate Processes and Climate Sensitivity, J. E. Hansen, T. Takahashi, Eds. (American Geophysical Union, Washington, DC, 1984), pp. 288–298.</w:t>
      </w:r>
    </w:p>
    <w:p w:rsidR="00DB42FE" w:rsidRPr="003532DF" w:rsidRDefault="00DB42FE" w:rsidP="000A2352">
      <w:pPr>
        <w:pStyle w:val="EndNoteBibliography"/>
        <w:spacing w:after="0"/>
        <w:ind w:left="720" w:hanging="360"/>
      </w:pPr>
      <w:r w:rsidRPr="003532DF">
        <w:t>3.   H. Oeschger et al., in Climate Processes and Climate Sensitivity, J. E. Hansen, T. Takahashi, Eds. (American Geophysical Union, Washington, DC, 1984), pp. 299–306.</w:t>
      </w:r>
    </w:p>
    <w:p w:rsidR="00DB42FE" w:rsidRPr="003532DF" w:rsidRDefault="00DB42FE" w:rsidP="000A2352">
      <w:pPr>
        <w:pStyle w:val="EndNoteBibliography"/>
        <w:spacing w:after="0"/>
        <w:ind w:left="720" w:hanging="360"/>
      </w:pPr>
      <w:r w:rsidRPr="003532DF">
        <w:t>4.   W. S. Broecker et al., Nature 315, 21 (1985).</w:t>
      </w:r>
    </w:p>
    <w:p w:rsidR="00DB42FE" w:rsidRPr="003532DF" w:rsidRDefault="00DB42FE" w:rsidP="000A2352">
      <w:pPr>
        <w:pStyle w:val="EndNoteBibliography"/>
        <w:spacing w:after="0"/>
        <w:ind w:left="720" w:hanging="360"/>
      </w:pPr>
      <w:r w:rsidRPr="003532DF">
        <w:t>5.   E. V. Galaasen et al., Science 367, 1485 (2020).</w:t>
      </w:r>
    </w:p>
    <w:p w:rsidR="00DB42FE" w:rsidRPr="003532DF" w:rsidRDefault="00DB42FE" w:rsidP="000A2352">
      <w:pPr>
        <w:pStyle w:val="EndNoteBibliography"/>
        <w:spacing w:after="0"/>
        <w:ind w:left="720" w:hanging="360"/>
      </w:pPr>
      <w:r w:rsidRPr="003532DF">
        <w:t>6.   N. J. Shackleton et al., Paleoceanography 15, 565 (2000).</w:t>
      </w:r>
    </w:p>
    <w:p w:rsidR="00DB42FE" w:rsidRPr="003532DF" w:rsidRDefault="00DB42FE" w:rsidP="000A2352">
      <w:pPr>
        <w:pStyle w:val="EndNoteBibliography"/>
        <w:spacing w:after="0"/>
        <w:ind w:left="720" w:hanging="360"/>
      </w:pPr>
      <w:r w:rsidRPr="003532DF">
        <w:t>7.   B. Martrat et al., Science 317, 502 (2007).</w:t>
      </w:r>
    </w:p>
    <w:p w:rsidR="00DB42FE" w:rsidRPr="003532DF" w:rsidRDefault="00DB42FE" w:rsidP="000A2352">
      <w:pPr>
        <w:pStyle w:val="EndNoteBibliography"/>
        <w:spacing w:after="0"/>
        <w:ind w:left="720" w:hanging="360"/>
      </w:pPr>
      <w:r w:rsidRPr="003532DF">
        <w:t>8.   S. R. Hemming, Rev. Geophys. 42, RG1005 (2004).</w:t>
      </w:r>
    </w:p>
    <w:p w:rsidR="00DB42FE" w:rsidRPr="003532DF" w:rsidRDefault="00DB42FE" w:rsidP="000A2352">
      <w:pPr>
        <w:pStyle w:val="EndNoteBibliography"/>
        <w:spacing w:after="0"/>
        <w:ind w:left="720" w:hanging="360"/>
      </w:pPr>
      <w:r w:rsidRPr="003532DF">
        <w:t>9.   E. N. Lorenz, J. Atmos. Sci. 20, 130 (1963).</w:t>
      </w:r>
    </w:p>
    <w:p w:rsidR="00DB42FE" w:rsidRPr="003532DF" w:rsidRDefault="00DB42FE" w:rsidP="000A2352">
      <w:pPr>
        <w:pStyle w:val="EndNoteBibliography"/>
        <w:spacing w:after="0"/>
        <w:ind w:left="720" w:hanging="360"/>
      </w:pPr>
      <w:r w:rsidRPr="003532DF">
        <w:t>10. J. Laskar et al., Astron. Astrophys. 428, 261 (2004).</w:t>
      </w:r>
    </w:p>
    <w:p w:rsidR="00DB42FE" w:rsidRPr="003532DF" w:rsidRDefault="00DB42FE" w:rsidP="000A2352">
      <w:pPr>
        <w:pStyle w:val="EndNoteBibliography"/>
        <w:spacing w:after="0"/>
        <w:ind w:left="720" w:hanging="360"/>
      </w:pPr>
      <w:r w:rsidRPr="003532DF">
        <w:t>11. G. Vettoretti, W. R. Peltier, Geophys. Res. Lett. 43, 5336 (2016).</w:t>
      </w:r>
    </w:p>
    <w:p w:rsidR="00DB42FE" w:rsidRPr="003532DF" w:rsidRDefault="00DB42FE" w:rsidP="000A2352">
      <w:pPr>
        <w:pStyle w:val="EndNoteBibliography"/>
        <w:spacing w:after="0"/>
        <w:ind w:left="720" w:hanging="360"/>
      </w:pPr>
      <w:r w:rsidRPr="003532DF">
        <w:t>12. P. Bakker et al., Geophys. Res. Lett. 43, 12252 (2016).</w:t>
      </w:r>
    </w:p>
    <w:p w:rsidR="00DB42FE" w:rsidRPr="003532DF" w:rsidRDefault="00DB42FE" w:rsidP="000A2352">
      <w:pPr>
        <w:pStyle w:val="EndNoteBibliography"/>
        <w:spacing w:after="0"/>
        <w:ind w:left="720" w:hanging="360"/>
      </w:pPr>
      <w:r w:rsidRPr="003532DF">
        <w:t>13. E. Frajka-Williams et al., Front. Mar. Sci. 6, 260 (2019).</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Strąpoć, D., Jacquet, B., Torres, O., Khan, S., Villegas, E.I., Albrecht, H., Okoh, B., McKinney, D., </w:t>
      </w:r>
      <w:r w:rsidR="00616347">
        <w:t xml:space="preserve">2020. </w:t>
      </w:r>
      <w:r w:rsidRPr="003532DF">
        <w:t>Deep biogenic methane and drilling-associated gas artifacts: Influence on gas-based characterization of petroleum fluids. American Association of Petroleum Geologists Bulletin 104, 887-912.</w:t>
      </w:r>
    </w:p>
    <w:p w:rsidR="00DB42FE" w:rsidRPr="003532DF" w:rsidRDefault="00DB42FE" w:rsidP="00616347">
      <w:pPr>
        <w:pStyle w:val="EndNoteBibliography"/>
        <w:ind w:left="360"/>
      </w:pPr>
      <w:r w:rsidRPr="003532DF">
        <w:t>http://archives.datapages.com/data/bulletns/2020/04apr/BLTN18011/bltn18011.html</w:t>
      </w:r>
    </w:p>
    <w:p w:rsidR="00DB42FE" w:rsidRPr="003532DF" w:rsidRDefault="00DB42FE" w:rsidP="00616347">
      <w:pPr>
        <w:pStyle w:val="EndNoteBibliography"/>
        <w:spacing w:after="0"/>
        <w:ind w:left="360"/>
      </w:pPr>
      <w:r w:rsidRPr="003532DF">
        <w:t>Classical interpretation of drilling mud-gas molecular and isotopic data in petroleum systems can be impacted by both natural and engineering processes, which can introduce allochthonous and/or isotopically unrepresentative gas species. This study investigates (1) widespread primary biogenic methane (C</w:t>
      </w:r>
      <w:r w:rsidRPr="003532DF">
        <w:rPr>
          <w:vertAlign w:val="subscript"/>
        </w:rPr>
        <w:t>1</w:t>
      </w:r>
      <w:r w:rsidRPr="003532DF">
        <w:t xml:space="preserve">) and its impact on mud-gas–based petroleum system interpretation and on the properties of the petroleum fluids in the subsurface, (2) differentiation of migration-mixing versus </w:t>
      </w:r>
      <w:r w:rsidRPr="003532DF">
        <w:lastRenderedPageBreak/>
        <w:t>diffusion-leakage in petroleum systems, and (3) bias introduced by gases generated at the drill bit, including alkenes and isotopically changed gaseous alkanes. Our goal was to provide solutions to flag impacted intervals by the above processes, minimize resulting interpretative-bias, and extract additional information about the fluid using advanced mud-gas logging (AMGL) tools and workflows. An AMGL interpretative methodology was developed using a combination of logs of C</w:t>
      </w:r>
      <w:r w:rsidRPr="003532DF">
        <w:rPr>
          <w:vertAlign w:val="subscript"/>
        </w:rPr>
        <w:t>1</w:t>
      </w:r>
      <w:r w:rsidRPr="003532DF">
        <w:t xml:space="preserve"> to pentane (C</w:t>
      </w:r>
      <w:r w:rsidRPr="003532DF">
        <w:rPr>
          <w:vertAlign w:val="subscript"/>
        </w:rPr>
        <w:t>5</w:t>
      </w:r>
      <w:r w:rsidRPr="003532DF">
        <w:t>) concentrations and δ</w:t>
      </w:r>
      <w:r w:rsidRPr="003532DF">
        <w:rPr>
          <w:vertAlign w:val="superscript"/>
        </w:rPr>
        <w:t>13</w:t>
      </w:r>
      <w:r w:rsidRPr="003532DF">
        <w:t>C-C</w:t>
      </w:r>
      <w:r w:rsidRPr="003532DF">
        <w:rPr>
          <w:vertAlign w:val="subscript"/>
        </w:rPr>
        <w:t>1</w:t>
      </w:r>
      <w:r w:rsidRPr="003532DF">
        <w:t>. This approach allows identification of subsurface intervals containing nearly pure background primary biogenic C</w:t>
      </w:r>
      <w:r w:rsidRPr="003532DF">
        <w:rPr>
          <w:vertAlign w:val="subscript"/>
        </w:rPr>
        <w:t>1</w:t>
      </w:r>
      <w:r w:rsidRPr="003532DF">
        <w:t xml:space="preserve"> and can quantify its concentration per rock volume. Consequently, thermogenic end member fluid types can be differentiated from mixtures with the biogenic C</w:t>
      </w:r>
      <w:r w:rsidRPr="003532DF">
        <w:rPr>
          <w:vertAlign w:val="subscript"/>
        </w:rPr>
        <w:t>1</w:t>
      </w:r>
      <w:r w:rsidRPr="003532DF">
        <w:t xml:space="preserve"> and assess its impact on the gas–oil ratio of the mixture. Additionally, two different processes can be responsible for mixing trends apparent on classical interpretation charts (e.g., modified Schoell diagram). The presented analysis of AMGL allows the deciphering of migration-mixing versus diffusion-leakage mixing trends using studied wells as examples. Another bias of mud-gas–based interpretation originates from artificial gases generated by drill-bit metamorphism (DBM). Evidence that DBM produced artificial alkanes in addition to alkenes via cracking of oil-based drilling mud included strong correlation of concentrations among alkenes. Furthermore, the concentration of alkenes strongly correlated with the magnitude of shift in δ</w:t>
      </w:r>
      <w:r w:rsidRPr="003532DF">
        <w:rPr>
          <w:vertAlign w:val="superscript"/>
        </w:rPr>
        <w:t>13</w:t>
      </w:r>
      <w:r w:rsidRPr="003532DF">
        <w:t>C of C</w:t>
      </w:r>
      <w:r w:rsidRPr="003532DF">
        <w:rPr>
          <w:vertAlign w:val="subscript"/>
        </w:rPr>
        <w:t>1</w:t>
      </w:r>
      <w:r w:rsidRPr="003532DF">
        <w:t xml:space="preserve"> and ethane (C</w:t>
      </w:r>
      <w:r w:rsidRPr="003532DF">
        <w:rPr>
          <w:vertAlign w:val="subscript"/>
        </w:rPr>
        <w:t>2</w:t>
      </w:r>
      <w:r w:rsidRPr="003532DF">
        <w:t>) between mud-gas and solution gas from bottomhole fluids sampled at equivalent depths. The artificial alkanes, contributed by the drilling process, can strongly bias and interfere with petroleum systems early interpretation based on mud-gas molecular and isotopic ratios. The bias depends on relative contributions of petroleum reservoir-liberated mud-gases and DBM-gases, which in this study reached half of the total C</w:t>
      </w:r>
      <w:r w:rsidRPr="003532DF">
        <w:rPr>
          <w:vertAlign w:val="subscript"/>
        </w:rPr>
        <w:t>1</w:t>
      </w:r>
      <w:r w:rsidRPr="003532DF">
        <w:t xml:space="preserve"> and C</w:t>
      </w:r>
      <w:r w:rsidRPr="003532DF">
        <w:rPr>
          <w:vertAlign w:val="subscript"/>
        </w:rPr>
        <w:t>2</w:t>
      </w:r>
      <w:r w:rsidRPr="003532DF">
        <w:t xml:space="preserve"> in the analyzed mud-gas. Conversely, alkene concentrations can be used as mud-gas quality check parameters and early indicators of excess heat generated at the drill bit.</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Stüeken, E.E., Tino, C., Arp, G., Jung, D., Lyons, T.W., </w:t>
      </w:r>
      <w:r w:rsidR="00616347">
        <w:t xml:space="preserve">2020. </w:t>
      </w:r>
      <w:r w:rsidRPr="003532DF">
        <w:t>Nitrogen isotope ratios trace high-pH conditions in a terrestrial Mars analog site. Science Advances 6, eaay3440.</w:t>
      </w:r>
    </w:p>
    <w:p w:rsidR="00DB42FE" w:rsidRPr="003532DF" w:rsidRDefault="00DB42FE" w:rsidP="00616347">
      <w:pPr>
        <w:pStyle w:val="EndNoteBibliography"/>
        <w:ind w:left="360"/>
      </w:pPr>
      <w:r w:rsidRPr="003532DF">
        <w:t>http://advances.sciencemag.org/content/6/9/eaay3440.abstract</w:t>
      </w:r>
    </w:p>
    <w:p w:rsidR="00DB42FE" w:rsidRPr="003532DF" w:rsidRDefault="00DB42FE" w:rsidP="00616347">
      <w:pPr>
        <w:pStyle w:val="EndNoteBibliography"/>
        <w:spacing w:after="0"/>
        <w:ind w:left="360"/>
      </w:pPr>
      <w:r w:rsidRPr="003532DF">
        <w:t>High-pH alkaline lakes are among the most productive ecosystems on Earth and prime targets in the search for life on Mars; however, a robust proxy for such settings does not yet exist. Nitrogen isotope fractionation resulting from NH</w:t>
      </w:r>
      <w:r w:rsidRPr="003532DF">
        <w:rPr>
          <w:vertAlign w:val="subscript"/>
        </w:rPr>
        <w:t>3</w:t>
      </w:r>
      <w:r w:rsidRPr="003532DF">
        <w:t xml:space="preserve"> volatilization at high pH has the potential to fill this gap. To validate this idea, we analyzed samples from the Nördlinger Ries, a Miocene impact crater lake that displayed pH values up to 9.8 as inferred from mineralogy and aqueous modeling. Our data show a peak in δ</w:t>
      </w:r>
      <w:r w:rsidRPr="003532DF">
        <w:rPr>
          <w:vertAlign w:val="superscript"/>
        </w:rPr>
        <w:t>15</w:t>
      </w:r>
      <w:r w:rsidRPr="003532DF">
        <w:t xml:space="preserve">N of +17‰ in the most alkaline facies, followed by a gradual decline to around +5‰, concurrent with the proposed decline in pH, highlighting the utility of nitrogen isotopes as a proxy for high-pH conditions. In combination with independent mineralogical indicators for high alkalinity, nitrogen isotopes can provide much-needed quantitative constraints on ancient atmospheric </w:t>
      </w:r>
      <w:r w:rsidRPr="003532DF">
        <w:rPr>
          <w:i/>
        </w:rPr>
        <w:t>P</w:t>
      </w:r>
      <w:r w:rsidRPr="003532DF">
        <w:t>co</w:t>
      </w:r>
      <w:r w:rsidRPr="003532DF">
        <w:rPr>
          <w:vertAlign w:val="subscript"/>
        </w:rPr>
        <w:t>2</w:t>
      </w:r>
      <w:r w:rsidRPr="003532DF">
        <w:t xml:space="preserve"> (partial pressure of CO</w:t>
      </w:r>
      <w:r w:rsidRPr="003532DF">
        <w:rPr>
          <w:vertAlign w:val="subscript"/>
        </w:rPr>
        <w:t>2</w:t>
      </w:r>
      <w:r w:rsidRPr="003532DF">
        <w:t>) and thus climatic controls on early Earth and Mars.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Sun, F., Wu, M., Wang, Y., Sun, C., Xu, Z., </w:t>
      </w:r>
      <w:r w:rsidR="00616347">
        <w:t xml:space="preserve">2020. </w:t>
      </w:r>
      <w:r w:rsidRPr="003532DF">
        <w:t>Diversity and potential function of bacterial communities in different upwelling systems. Estuarine, Coastal and Shelf Science 237, 106698.</w:t>
      </w:r>
    </w:p>
    <w:p w:rsidR="00DB42FE" w:rsidRPr="003532DF" w:rsidRDefault="00DB42FE" w:rsidP="00616347">
      <w:pPr>
        <w:pStyle w:val="EndNoteBibliography"/>
        <w:ind w:left="360"/>
      </w:pPr>
      <w:r w:rsidRPr="003532DF">
        <w:t>http://www.sciencedirect.com/science/article/pii/S0272771419307668</w:t>
      </w:r>
    </w:p>
    <w:p w:rsidR="00DB42FE" w:rsidRPr="003532DF" w:rsidRDefault="00DB42FE" w:rsidP="00616347">
      <w:pPr>
        <w:pStyle w:val="EndNoteBibliography"/>
        <w:spacing w:after="0"/>
        <w:ind w:left="360"/>
      </w:pPr>
      <w:r w:rsidRPr="003532DF">
        <w:t xml:space="preserve">Upwelling is one of the most important processes in the marine ecosystem and plays an important role in nutrient transport. However, the bacterial community structure and function of upwelling </w:t>
      </w:r>
      <w:r w:rsidRPr="003532DF">
        <w:lastRenderedPageBreak/>
        <w:t xml:space="preserve">areas in the South China Sea (SCS) have received little attention. This study provides a systematic insight into bacterial diversity and predicted metabolic functions related to upwelling areas using Illumina Miseq sequencing. The results suggest that bacterial communities exhibit different patterns of spatial distribution in different upwelling systems, and provides evidence for phylogenetic taxonomy shaped by ecological preferences. The bacterial community displayed a significant vertical gradient in upwelling systems. </w:t>
      </w:r>
      <w:r w:rsidRPr="003532DF">
        <w:rPr>
          <w:i/>
        </w:rPr>
        <w:t>Oceanospirillales</w:t>
      </w:r>
      <w:r w:rsidRPr="003532DF">
        <w:t xml:space="preserve">, </w:t>
      </w:r>
      <w:r w:rsidRPr="003532DF">
        <w:rPr>
          <w:i/>
        </w:rPr>
        <w:t>Alteromonadales</w:t>
      </w:r>
      <w:r w:rsidRPr="003532DF">
        <w:t xml:space="preserve">, </w:t>
      </w:r>
      <w:r w:rsidRPr="003532DF">
        <w:rPr>
          <w:i/>
        </w:rPr>
        <w:t>Sphingomonadales</w:t>
      </w:r>
      <w:r w:rsidRPr="003532DF">
        <w:t xml:space="preserve">, </w:t>
      </w:r>
      <w:r w:rsidRPr="003532DF">
        <w:rPr>
          <w:i/>
        </w:rPr>
        <w:t>Flavobacteriales</w:t>
      </w:r>
      <w:r w:rsidRPr="003532DF">
        <w:t xml:space="preserve">, </w:t>
      </w:r>
      <w:r w:rsidRPr="003532DF">
        <w:rPr>
          <w:i/>
        </w:rPr>
        <w:t>Rhodobacterales</w:t>
      </w:r>
      <w:r w:rsidRPr="003532DF">
        <w:t xml:space="preserve">, and </w:t>
      </w:r>
      <w:r w:rsidRPr="003532DF">
        <w:rPr>
          <w:i/>
        </w:rPr>
        <w:t>Bacillales</w:t>
      </w:r>
      <w:r w:rsidRPr="003532DF">
        <w:t xml:space="preserve"> were dominant in areas of coastal upwelling, while </w:t>
      </w:r>
      <w:r w:rsidRPr="003532DF">
        <w:rPr>
          <w:i/>
        </w:rPr>
        <w:t>Oceanospirillales</w:t>
      </w:r>
      <w:r w:rsidRPr="003532DF">
        <w:t xml:space="preserve">, </w:t>
      </w:r>
      <w:r w:rsidRPr="003532DF">
        <w:rPr>
          <w:i/>
        </w:rPr>
        <w:t>Alteromonadales</w:t>
      </w:r>
      <w:r w:rsidRPr="003532DF">
        <w:t xml:space="preserve">, </w:t>
      </w:r>
      <w:r w:rsidRPr="003532DF">
        <w:rPr>
          <w:i/>
        </w:rPr>
        <w:t>Rhodobacterales</w:t>
      </w:r>
      <w:r w:rsidRPr="003532DF">
        <w:t xml:space="preserve">, and </w:t>
      </w:r>
      <w:r w:rsidRPr="003532DF">
        <w:rPr>
          <w:i/>
        </w:rPr>
        <w:t>Lactobacillales</w:t>
      </w:r>
      <w:r w:rsidRPr="003532DF">
        <w:t xml:space="preserve"> were also abundant in areas of oceanic upwelling. Whereas, </w:t>
      </w:r>
      <w:r w:rsidRPr="003532DF">
        <w:rPr>
          <w:i/>
        </w:rPr>
        <w:t>Lactobacillales</w:t>
      </w:r>
      <w:r w:rsidRPr="003532DF">
        <w:t xml:space="preserve">, </w:t>
      </w:r>
      <w:r w:rsidRPr="003532DF">
        <w:rPr>
          <w:i/>
        </w:rPr>
        <w:t>Pseudomonadales</w:t>
      </w:r>
      <w:r w:rsidRPr="003532DF">
        <w:t xml:space="preserve">, and </w:t>
      </w:r>
      <w:r w:rsidRPr="003532DF">
        <w:rPr>
          <w:i/>
        </w:rPr>
        <w:t>Alteromonadales</w:t>
      </w:r>
      <w:r w:rsidRPr="003532DF">
        <w:t xml:space="preserve"> were dominant in non-upwelling regions and displayed a uniform distribution among different depths. The predicted metagenome showed that functional metabolism shifts were consistent with taxon responses. Most of the gene families were significantly enriched and were more abundant in upwelling than non-upwelling regions, indicating that bacteria could increase their ability for metabolic exchange and nutrient transformation due to the upwelling effect. This study emphasized that upwelling induces a shift in the upwelling-driven microbe and metabolic functions, resulting in obvious impacts on material transformation.</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Sun, K., Han, L., Yang, Y., Xia, X., Yang, Z., Wu, F., Li, F., Feng, Y., Xing, B., </w:t>
      </w:r>
      <w:r w:rsidR="00616347">
        <w:t xml:space="preserve">2020. </w:t>
      </w:r>
      <w:r w:rsidRPr="003532DF">
        <w:t>Application of hydrochar altered soil microbial community composition and the molecular structure of native soil organic carbon in a paddy soil. Environmental Science &amp; Technology 54, 2715-2725.</w:t>
      </w:r>
    </w:p>
    <w:p w:rsidR="00DB42FE" w:rsidRPr="003532DF" w:rsidRDefault="00DB42FE" w:rsidP="00616347">
      <w:pPr>
        <w:pStyle w:val="EndNoteBibliography"/>
        <w:ind w:left="360"/>
      </w:pPr>
      <w:r w:rsidRPr="003532DF">
        <w:t>https://doi.org/10.1021/acs.est.9b05864</w:t>
      </w:r>
    </w:p>
    <w:p w:rsidR="00DB42FE" w:rsidRPr="003532DF" w:rsidRDefault="00DB42FE" w:rsidP="00616347">
      <w:pPr>
        <w:pStyle w:val="EndNoteBibliography"/>
        <w:spacing w:after="0"/>
        <w:ind w:left="360"/>
      </w:pPr>
      <w:r w:rsidRPr="003532DF">
        <w:t xml:space="preserve">The benefits and disadvantages of hydrochar incorporation into soil have been heavily researched. However, the effect of hydrochar application on the soil microbial communities and the molecular structure of native soil organic carbon (SOC) has not been thoroughly elucidated. This study conducted an incubation experiment at 25 °C for 135 days using a soil column with 0.5 and 1.5% hydrochar-amended paddy soil to explore the interconnections between changes in soil properties and microbial communities and shifts in native SOC structure using electrospray ionization Fourier transform ion cyclotron resonance mass spectrometry (ESI-FT-ICR-MS) and NMR after hydrochar application. Hydrochar addition decreased the labile SOC fraction by 15.6–33.6% and increased the stable SOC fraction by 10.3–27.0%. These effects were significantly stronger for 1.5% hydrochar-treated soil. Additionally, hydrochar addition induced the native SOC with 1.0–3.0% more carbon and 6.0–13.0% higher molecular weight. The SOC in hydrochar-amended soil contained more aromatic compounds but fewer carbohydrates and lower polarity. This was resulted by a statistically significant reduction in </w:t>
      </w:r>
      <w:r w:rsidRPr="003532DF">
        <w:rPr>
          <w:i/>
        </w:rPr>
        <w:t>Sphingobacterium</w:t>
      </w:r>
      <w:r w:rsidRPr="003532DF">
        <w:t xml:space="preserve">, which was active in polycyclic aromatic hydrocarbon degradation, and an increase in </w:t>
      </w:r>
      <w:r w:rsidRPr="003532DF">
        <w:rPr>
          <w:i/>
        </w:rPr>
        <w:t>Flavobacterium</w:t>
      </w:r>
      <w:r w:rsidRPr="003532DF">
        <w:t xml:space="preserve">, </w:t>
      </w:r>
      <w:r w:rsidRPr="003532DF">
        <w:rPr>
          <w:i/>
        </w:rPr>
        <w:t>Anaerolinea</w:t>
      </w:r>
      <w:r w:rsidRPr="003532DF">
        <w:t>, Penicillium, and Acremonium, which were the efficient decomposers of labile SOC. These findings will help elucidate the potential influence of hydrochar on the carbon biogeochemical cycle in the soil.</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Sun, L., Fu, D., Chai, S., Yang, W., Zhou, K., Li, W., </w:t>
      </w:r>
      <w:r w:rsidR="00616347">
        <w:t xml:space="preserve">2020. </w:t>
      </w:r>
      <w:r w:rsidRPr="003532DF">
        <w:t>Fractal characteristics and significances of the nanopores in oil shales during hydrous pyrolysis. Journal of Petroleum Exploration and Production Technology 10, 557-567.</w:t>
      </w:r>
    </w:p>
    <w:p w:rsidR="00DB42FE" w:rsidRPr="003532DF" w:rsidRDefault="00DB42FE" w:rsidP="00616347">
      <w:pPr>
        <w:pStyle w:val="EndNoteBibliography"/>
        <w:ind w:left="360"/>
      </w:pPr>
      <w:r w:rsidRPr="003532DF">
        <w:t>https://doi.org/10.1007/s13202-019-00785-4</w:t>
      </w:r>
    </w:p>
    <w:p w:rsidR="00DB42FE" w:rsidRPr="003532DF" w:rsidRDefault="00DB42FE" w:rsidP="00616347">
      <w:pPr>
        <w:pStyle w:val="EndNoteBibliography"/>
        <w:spacing w:after="0"/>
        <w:ind w:left="360"/>
      </w:pPr>
      <w:r w:rsidRPr="003532DF">
        <w:lastRenderedPageBreak/>
        <w:t xml:space="preserve">In order to explore the pore characterizations in shales during organic matter evolution, a series of simulation experiments were conducted. The artificial hydrous pyrolysis was conducted on the same seven columned oil-shale samples at 250 °C, 300 °C, 350 °C, 375 °C, 400 °C, 450 °C and 500 °C, respectively. To obtain the characteristics of pore structures in shales, the unheated and the residual solid samples were analyzed by low-pressure nitrogen adsorption method. Based on the nitrogen adsorption isotherms, fractal dimensions were calculated by the model of Frenkel–Halsey–Hill, which also contained the fractal dimension of </w:t>
      </w:r>
      <w:r w:rsidRPr="003532DF">
        <w:rPr>
          <w:i/>
        </w:rPr>
        <w:t>D</w:t>
      </w:r>
      <w:r w:rsidRPr="003532DF">
        <w:rPr>
          <w:vertAlign w:val="subscript"/>
        </w:rPr>
        <w:t>1</w:t>
      </w:r>
      <w:r w:rsidRPr="003532DF">
        <w:t xml:space="preserve"> and </w:t>
      </w:r>
      <w:r w:rsidRPr="003532DF">
        <w:rPr>
          <w:i/>
        </w:rPr>
        <w:t>D</w:t>
      </w:r>
      <w:r w:rsidRPr="003532DF">
        <w:rPr>
          <w:vertAlign w:val="subscript"/>
        </w:rPr>
        <w:t>2</w:t>
      </w:r>
      <w:r w:rsidRPr="003532DF">
        <w:t xml:space="preserve"> before and after the relative pressure </w:t>
      </w:r>
      <w:r w:rsidRPr="003532DF">
        <w:rPr>
          <w:i/>
        </w:rPr>
        <w:t>P</w:t>
      </w:r>
      <w:r w:rsidRPr="003532DF">
        <w:t xml:space="preserve">/Po = 0.5, respectively. And then the relationships of simulation temperatures (thermal maturity), total-, macro-, meso- and micro-pores volumes, specific surface areas and diameters to fractal dimensions were investigated. The results showed that the average value of </w:t>
      </w:r>
      <w:r w:rsidRPr="003532DF">
        <w:rPr>
          <w:i/>
        </w:rPr>
        <w:t>D</w:t>
      </w:r>
      <w:r w:rsidRPr="003532DF">
        <w:rPr>
          <w:vertAlign w:val="subscript"/>
        </w:rPr>
        <w:t>2</w:t>
      </w:r>
      <w:r w:rsidRPr="003532DF">
        <w:t xml:space="preserve"> (2.6110) was higher than </w:t>
      </w:r>
      <w:r w:rsidRPr="003532DF">
        <w:rPr>
          <w:i/>
        </w:rPr>
        <w:t>D</w:t>
      </w:r>
      <w:r w:rsidRPr="003532DF">
        <w:rPr>
          <w:vertAlign w:val="subscript"/>
        </w:rPr>
        <w:t>1</w:t>
      </w:r>
      <w:r w:rsidRPr="003532DF">
        <w:t xml:space="preserve"> (2.4147) and there was a positive relationship between them (</w:t>
      </w:r>
      <w:r w:rsidRPr="003532DF">
        <w:rPr>
          <w:i/>
        </w:rPr>
        <w:t>R</w:t>
      </w:r>
      <w:r w:rsidRPr="003532DF">
        <w:rPr>
          <w:vertAlign w:val="superscript"/>
        </w:rPr>
        <w:t>2</w:t>
      </w:r>
      <w:r w:rsidRPr="003532DF">
        <w:t xml:space="preserve"> = 0.9237), which indicated that though </w:t>
      </w:r>
      <w:r w:rsidRPr="003532DF">
        <w:rPr>
          <w:i/>
        </w:rPr>
        <w:t>D</w:t>
      </w:r>
      <w:r w:rsidRPr="003532DF">
        <w:rPr>
          <w:vertAlign w:val="subscript"/>
        </w:rPr>
        <w:t>2</w:t>
      </w:r>
      <w:r w:rsidRPr="003532DF">
        <w:t xml:space="preserve"> and </w:t>
      </w:r>
      <w:r w:rsidRPr="003532DF">
        <w:rPr>
          <w:i/>
        </w:rPr>
        <w:t>D</w:t>
      </w:r>
      <w:r w:rsidRPr="003532DF">
        <w:rPr>
          <w:vertAlign w:val="subscript"/>
        </w:rPr>
        <w:t>1</w:t>
      </w:r>
      <w:r w:rsidRPr="003532DF">
        <w:t xml:space="preserve"> were more related to pore structures and surfaces, the better linear relationships suggested that both of them could be used in the representation of pore structures and surfaces in shales. With the thermal maturity increasing, the obvious fractal characteristics were, the complexity of pore structures were, which may be associated with the following cause-and-effect relationships. During the pyrolysis, the generation of hydrocarbons increased, as well as the consumption of TOC may increase the volume and surface area of total-, macro-, meso- and micro-pores but decrease the corresponding average diameter and then the quantities of smaller pores occurred and led to the strengthening of pore heterogeneity in shales. Based on the fractal characteristics, we also found the higher thermal maturity would result in the better connections among pores but worse permeability in shale, which further increased the gas adsorption quantity. Therefore, analyzing the fractal characteristics in shales could provide help for clarifying the characteristics of reservoirs as well as the comprehensive exploration and development of shale gas.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Sun, V.Z., Milliken, R.E., </w:t>
      </w:r>
      <w:r w:rsidR="00616347">
        <w:t xml:space="preserve">2020. </w:t>
      </w:r>
      <w:r w:rsidRPr="003532DF">
        <w:t>Characterizing the mineral assemblages of hot spring environments and applications to Mars orbital data. Astrobiology 20, 453-474.</w:t>
      </w:r>
    </w:p>
    <w:p w:rsidR="00DB42FE" w:rsidRPr="003532DF" w:rsidRDefault="00DB42FE" w:rsidP="00616347">
      <w:pPr>
        <w:pStyle w:val="EndNoteBibliography"/>
        <w:ind w:left="360"/>
      </w:pPr>
      <w:r w:rsidRPr="003532DF">
        <w:t>https://doi.org/10.1089/ast.2018.2003</w:t>
      </w:r>
    </w:p>
    <w:p w:rsidR="00DB42FE" w:rsidRPr="003532DF" w:rsidRDefault="00DB42FE" w:rsidP="00616347">
      <w:pPr>
        <w:pStyle w:val="EndNoteBibliography"/>
        <w:spacing w:after="0"/>
        <w:ind w:left="360"/>
      </w:pPr>
      <w:r w:rsidRPr="003532DF">
        <w:t>Certain martian hydrated silica deposits have been hypothesized to represent ancient hot spring environments, but many environments can produce hydrated silica on Earth. This study compares the mineral assemblages produced in terrestrial hot springs to those observed in silica-producing volcanic fumarolic environments to determine which diagnostic features of hot springs could be remotely sensed on Mars. We find that hot spring environments are more likely to produce geochemically mature silica (</w:t>
      </w:r>
      <w:r w:rsidRPr="003532DF">
        <w:rPr>
          <w:i/>
        </w:rPr>
        <w:t>i.e.</w:t>
      </w:r>
      <w:r w:rsidRPr="003532DF">
        <w:t xml:space="preserve">, opal-CT and microcrystalline quartz) in addition to opal-A, whereas volcanic fumarolic environments tend to produce only opal-A, potentially reflecting differences in water-to-rock ratios. Neutral/alkaline hot springs contain few accessory minerals (typically calcite and Fe/Mg clays), while acidic hot springs commonly contain accessory kaolinite. By comparison, mineral assemblages at volcanic fumaroles contain protolith igneous minerals and a diversity of alteration minerals indicative of acidic conditions. Based on these terrestrial observations, the presence of opal-CT and/or microcrystalline quartz could be more diagnostic of a hot spring origin rather than a fumarolic origin, and accessory mineralogy could provide information on formation pH. On Mars, we observe that most orbital opal detections in outcrop are opal-A, sometimes accompanied by Fe/Mg clays, suggestive of neutral/alkaline conditions. However, these observations do not uniquely distinguish between hot springs and fumarolic environments, as opal-A can occur in both environments. Many martian silica detections occur in regionally extensive units, and sometimes in association with fluvial landforms suggesting a detrital or lower temperature authigenic origin. Thus, only a few martian opal detections may be mineralogically, spatially, and </w:t>
      </w:r>
      <w:r w:rsidRPr="003532DF">
        <w:lastRenderedPageBreak/>
        <w:t xml:space="preserve">morphologically consistent with a hot spring origin. However, although it is difficult to unambiguously identify martian hot spring environments from orbital data sets, the orbital data are still valuable for identifying siliceous sites that are consistent with higher biosignature preservation potential, that is, sites with opal-A (not opal-CT), for future </w:t>
      </w:r>
      <w:r w:rsidRPr="003532DF">
        <w:rPr>
          <w:i/>
        </w:rPr>
        <w:t>in situ</w:t>
      </w:r>
      <w:r w:rsidRPr="003532DF">
        <w:t xml:space="preserve"> investigations. </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Sun, X.-D., Wu, H.-L., Chen, J.-C., Chen, A.-Q., Chen, Y., Ouyang, Y.-Z., Ding, Y.-J., Yu, R.-Q., </w:t>
      </w:r>
      <w:r w:rsidR="00616347">
        <w:t xml:space="preserve">2020. </w:t>
      </w:r>
      <w:r w:rsidRPr="003532DF">
        <w:t>Exploration advantages of data combination and partition: First chemometric analysis of liquid chromatography–mass spectrometry data in full scan mode with quadruple fragmentor voltages. Analytica Chimica Acta 1110, 158-168.</w:t>
      </w:r>
    </w:p>
    <w:p w:rsidR="00DB42FE" w:rsidRPr="003532DF" w:rsidRDefault="00DB42FE" w:rsidP="00616347">
      <w:pPr>
        <w:pStyle w:val="EndNoteBibliography"/>
        <w:ind w:left="360"/>
      </w:pPr>
      <w:r w:rsidRPr="003532DF">
        <w:t>http://www.sciencedirect.com/science/article/pii/S0003267020303251</w:t>
      </w:r>
    </w:p>
    <w:p w:rsidR="00DB42FE" w:rsidRPr="003532DF" w:rsidRDefault="00DB42FE" w:rsidP="00616347">
      <w:pPr>
        <w:pStyle w:val="EndNoteBibliography"/>
        <w:spacing w:after="0"/>
        <w:ind w:left="360"/>
      </w:pPr>
      <w:r w:rsidRPr="003532DF">
        <w:t>A novel soft strategy for combination and partition of mass spectra data recorded at different fragmentor voltages in full scan mode of a mass spectrometer was developed to generate abundant multi-way data. It is the first time that non-linear four-way and combined three-way LC-MS data have been obtained simultaneously in a single chromatographic run. This strategy ensures that each analyte can be ionized and detected at the most appropriate MS conditions (ionization modes, fragmentor voltages) and avoids a hard chromatographic segmentation in subsequent chemometric analysis. Two different experimental datasets were analyzed to validate the feasibility and applicability of this strategy. Some simple pretreatments were carried out before LC-MS analysis to prevent potential matrix effects. Proper chemometric tools were used to resolve three-way (partitioned data) and enhanced three-way LC-MS (combined data) data, respectively. The method was assessed by comparing the analytical results obtained from the same chemometric algorithm with both combined and partitioned datasets: (1) the combined data provided the best global overall resolution, higher sensitivity and more reliable results, (2) the partitioned data provided higher selectivity for some specific analytes. The results showed that the developed method could be a soft and ingenious tool to handle the unordered but information-rich raw LC-MS data. Moreover, the proposed strategy could take extra analytical advantages in terms of higher sensitivity and more reliable quantitative results when compared with LC-MS (with single fragmentor voltage) strategy and showed nearly the same capability in analytical quality as classic LC-MS/MS method.</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Sun, X., Fan, D., Liao, H., Tian, Y., </w:t>
      </w:r>
      <w:r w:rsidR="00616347">
        <w:t xml:space="preserve">2020. </w:t>
      </w:r>
      <w:r w:rsidRPr="003532DF">
        <w:t>Fate of organic carbon burial in modern sediment within Yangtze River Estuary. Journal of Geophysical Research: Biogeosciences 125, e2019JG005379.</w:t>
      </w:r>
    </w:p>
    <w:p w:rsidR="00DB42FE" w:rsidRPr="003532DF" w:rsidRDefault="00DB42FE" w:rsidP="00616347">
      <w:pPr>
        <w:pStyle w:val="EndNoteBibliography"/>
        <w:ind w:left="360"/>
      </w:pPr>
      <w:r w:rsidRPr="003532DF">
        <w:t>https://doi.org/10.1029/2019JG005379</w:t>
      </w:r>
    </w:p>
    <w:p w:rsidR="00DB42FE" w:rsidRPr="003532DF" w:rsidRDefault="00DB42FE" w:rsidP="00616347">
      <w:pPr>
        <w:pStyle w:val="EndNoteBibliography"/>
        <w:ind w:left="360"/>
      </w:pPr>
      <w:r w:rsidRPr="003532DF">
        <w:t>Abstract: Large river‐dominated margins play a potential key role in regulating global carbon cycle and budget due to high terrestrial organic carbon (C</w:t>
      </w:r>
      <w:r w:rsidRPr="003532DF">
        <w:rPr>
          <w:vertAlign w:val="subscript"/>
        </w:rPr>
        <w:t>org</w:t>
      </w:r>
      <w:r w:rsidRPr="003532DF">
        <w:t>) inputs and sediment accumulation rates. Here bulk elements (C</w:t>
      </w:r>
      <w:r w:rsidRPr="003532DF">
        <w:rPr>
          <w:vertAlign w:val="subscript"/>
        </w:rPr>
        <w:t>org</w:t>
      </w:r>
      <w:r w:rsidRPr="003532DF">
        <w:t xml:space="preserve"> and TN), isotopic compositions (δ</w:t>
      </w:r>
      <w:r w:rsidRPr="003532DF">
        <w:rPr>
          <w:vertAlign w:val="superscript"/>
        </w:rPr>
        <w:t>13</w:t>
      </w:r>
      <w:r w:rsidRPr="003532DF">
        <w:t>C</w:t>
      </w:r>
      <w:r w:rsidRPr="003532DF">
        <w:rPr>
          <w:vertAlign w:val="subscript"/>
        </w:rPr>
        <w:t>org</w:t>
      </w:r>
      <w:r w:rsidRPr="003532DF">
        <w:t xml:space="preserve"> and δ</w:t>
      </w:r>
      <w:r w:rsidRPr="003532DF">
        <w:rPr>
          <w:vertAlign w:val="superscript"/>
        </w:rPr>
        <w:t>15</w:t>
      </w:r>
      <w:r w:rsidRPr="003532DF">
        <w:t xml:space="preserve">N), radioisotope </w:t>
      </w:r>
      <w:r w:rsidRPr="003532DF">
        <w:rPr>
          <w:vertAlign w:val="superscript"/>
        </w:rPr>
        <w:t>210</w:t>
      </w:r>
      <w:r w:rsidRPr="003532DF">
        <w:t>Pb, sedimentary grain size, pH, Eh, and physicochemical properties were analyzed on samples from the Yangtze River Estuary to determine the mechanism involved in transporting sedimentary C</w:t>
      </w:r>
      <w:r w:rsidRPr="003532DF">
        <w:rPr>
          <w:vertAlign w:val="subscript"/>
        </w:rPr>
        <w:t>org</w:t>
      </w:r>
      <w:r w:rsidRPr="003532DF">
        <w:t xml:space="preserve"> offshore. In addition, nine box‐cores were analyzed to further reveal the potential effects of the declining sediment load on the modern depositional pattern of C</w:t>
      </w:r>
      <w:r w:rsidRPr="003532DF">
        <w:rPr>
          <w:vertAlign w:val="subscript"/>
        </w:rPr>
        <w:t>org</w:t>
      </w:r>
      <w:r w:rsidRPr="003532DF">
        <w:t>. The statistical analyses indicate that the hydrodynamically driven sediment composition exerts a significant control on the transport, mobilization, and accumulation of sedimentary C</w:t>
      </w:r>
      <w:r w:rsidRPr="003532DF">
        <w:rPr>
          <w:vertAlign w:val="subscript"/>
        </w:rPr>
        <w:t>org</w:t>
      </w:r>
      <w:r w:rsidRPr="003532DF">
        <w:t xml:space="preserve"> from the river to the estuary, with respect to the redistribution of fine‐grained sediments. Furthermore, X‐radiographs and </w:t>
      </w:r>
      <w:r w:rsidRPr="003532DF">
        <w:rPr>
          <w:vertAlign w:val="superscript"/>
        </w:rPr>
        <w:t>210</w:t>
      </w:r>
      <w:r w:rsidRPr="003532DF">
        <w:t xml:space="preserve">Pb indicate that </w:t>
      </w:r>
      <w:r w:rsidRPr="003532DF">
        <w:lastRenderedPageBreak/>
        <w:t>reworked environment dominates carbon burial in the Yangtze proximal deposit, while a stable sedimentary environment of C</w:t>
      </w:r>
      <w:r w:rsidRPr="003532DF">
        <w:rPr>
          <w:vertAlign w:val="subscript"/>
        </w:rPr>
        <w:t>org</w:t>
      </w:r>
      <w:r w:rsidRPr="003532DF">
        <w:t xml:space="preserve"> (3.50–5.58 g cm</w:t>
      </w:r>
      <w:r w:rsidRPr="003532DF">
        <w:rPr>
          <w:vertAlign w:val="superscript"/>
        </w:rPr>
        <w:t>−2</w:t>
      </w:r>
      <w:r w:rsidRPr="003532DF">
        <w:t xml:space="preserve"> year</w:t>
      </w:r>
      <w:r w:rsidRPr="003532DF">
        <w:rPr>
          <w:vertAlign w:val="superscript"/>
        </w:rPr>
        <w:t>−1</w:t>
      </w:r>
      <w:r w:rsidRPr="003532DF">
        <w:t>) is observed in the Yangtze distal mud. Notably, the enhanced erosional inputs that contain terrestrial plant debris (mainly the coarse fractions) have tended to become important sources for C</w:t>
      </w:r>
      <w:r w:rsidRPr="003532DF">
        <w:rPr>
          <w:vertAlign w:val="subscript"/>
        </w:rPr>
        <w:t>org</w:t>
      </w:r>
      <w:r w:rsidRPr="003532DF">
        <w:t>. Although reworked sediments in the Yangtze River Estuary are frequently exposed to oxygen during physical and biological processes, there appears to be a high potential for long‐term sedimentary C</w:t>
      </w:r>
      <w:r w:rsidRPr="003532DF">
        <w:rPr>
          <w:vertAlign w:val="subscript"/>
        </w:rPr>
        <w:t>org</w:t>
      </w:r>
      <w:r w:rsidRPr="003532DF">
        <w:t xml:space="preserve"> storage, due to its association with sediment particles (mainly the clay fractions) that provide physical protection against its degradation.</w:t>
      </w:r>
    </w:p>
    <w:p w:rsidR="00DB42FE" w:rsidRPr="003532DF" w:rsidRDefault="00DB42FE" w:rsidP="00616347">
      <w:pPr>
        <w:pStyle w:val="EndNoteBibliography"/>
        <w:spacing w:after="0"/>
        <w:ind w:left="360"/>
      </w:pPr>
      <w:r w:rsidRPr="003532DF">
        <w:t>Plain Language Summary: River‐dominated continental margins contribute extensively to burying global C</w:t>
      </w:r>
      <w:r w:rsidRPr="003532DF">
        <w:rPr>
          <w:vertAlign w:val="subscript"/>
        </w:rPr>
        <w:t>org</w:t>
      </w:r>
      <w:r w:rsidRPr="003532DF">
        <w:t xml:space="preserve"> within sediments. To elucidate the fate of C</w:t>
      </w:r>
      <w:r w:rsidRPr="003532DF">
        <w:rPr>
          <w:vertAlign w:val="subscript"/>
        </w:rPr>
        <w:t>org</w:t>
      </w:r>
      <w:r w:rsidRPr="003532DF">
        <w:t xml:space="preserve"> deposited in estuarine sediments, this study explores how the concentration and composition of sedimentary C</w:t>
      </w:r>
      <w:r w:rsidRPr="003532DF">
        <w:rPr>
          <w:vertAlign w:val="subscript"/>
        </w:rPr>
        <w:t>org</w:t>
      </w:r>
      <w:r w:rsidRPr="003532DF">
        <w:t xml:space="preserve"> changes from the river to the estuary and evaluates modern depositional patterns of C</w:t>
      </w:r>
      <w:r w:rsidRPr="003532DF">
        <w:rPr>
          <w:vertAlign w:val="subscript"/>
        </w:rPr>
        <w:t>org</w:t>
      </w:r>
      <w:r w:rsidRPr="003532DF">
        <w:t xml:space="preserve"> burial in the Yangtze River Estuary, as suspended sediment and associated terrestrial C</w:t>
      </w:r>
      <w:r w:rsidRPr="003532DF">
        <w:rPr>
          <w:vertAlign w:val="subscript"/>
        </w:rPr>
        <w:t>org</w:t>
      </w:r>
      <w:r w:rsidRPr="003532DF">
        <w:t xml:space="preserve"> fluxes from the Yangtze River have decreased 60–80% between 1950 and 2016. Results show that hydrodynamically driven changes to sediment texture primarily dominate the redistribution of sedimentary C</w:t>
      </w:r>
      <w:r w:rsidRPr="003532DF">
        <w:rPr>
          <w:vertAlign w:val="subscript"/>
        </w:rPr>
        <w:t>org</w:t>
      </w:r>
      <w:r w:rsidRPr="003532DF">
        <w:t xml:space="preserve"> from the river channel to the estuary. In addition, it is likely that inputs of eroded material that contain terrestrial plant detritus have changed the modern depositional patterns and rates of sedimentary C</w:t>
      </w:r>
      <w:r w:rsidRPr="003532DF">
        <w:rPr>
          <w:vertAlign w:val="subscript"/>
        </w:rPr>
        <w:t>org</w:t>
      </w:r>
      <w:r w:rsidRPr="003532DF">
        <w:t xml:space="preserve"> burial in the Yangtze River Estuary. Such changes will inevitably continue to have an impacts on the long‐term burial and preservation of C</w:t>
      </w:r>
      <w:r w:rsidRPr="003532DF">
        <w:rPr>
          <w:vertAlign w:val="subscript"/>
        </w:rPr>
        <w:t>org</w:t>
      </w:r>
      <w:r w:rsidRPr="003532DF">
        <w:t>.</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Sun, Y., Ellery, A., Huang, X., </w:t>
      </w:r>
      <w:r w:rsidR="00616347">
        <w:t xml:space="preserve">2020. </w:t>
      </w:r>
      <w:r w:rsidRPr="003532DF">
        <w:t>Targeting the geysers on Enceladus by viffing descent through the icy plumes. Advances in Space Research 65, 1863-1876.</w:t>
      </w:r>
    </w:p>
    <w:p w:rsidR="00DB42FE" w:rsidRPr="003532DF" w:rsidRDefault="00DB42FE" w:rsidP="00616347">
      <w:pPr>
        <w:pStyle w:val="EndNoteBibliography"/>
        <w:ind w:left="360"/>
      </w:pPr>
      <w:r w:rsidRPr="003532DF">
        <w:t>http://www.sciencedirect.com/science/article/pii/S0273117719309299</w:t>
      </w:r>
    </w:p>
    <w:p w:rsidR="00DB42FE" w:rsidRPr="003532DF" w:rsidRDefault="00DB42FE" w:rsidP="00616347">
      <w:pPr>
        <w:pStyle w:val="EndNoteBibliography"/>
        <w:spacing w:after="0"/>
        <w:ind w:left="360"/>
      </w:pPr>
      <w:r w:rsidRPr="003532DF">
        <w:t>The ice plumes emanating from the geyser vents at Enceladus’ south pole offer an enticing route for direct access to acquire pristine astrobiological samples. Unlike traditional landing scenarios where the location of the landing target is known a priori, we propose that one or more penetrators explore the plume environment via lateral maneuvers during the descent to Enceladus’ surface to infer the location of promising landing sites by autonomously measuring the plume ice/vapour concentration at multiple locations within the plume. This offers the prospect of targeting the vent sources of the plumes for direct access to subsurface material prior to its ejection. We examine four types of “viffing” (vector-in-forward flight) descent profiles and the impulsive velocity increment (ΔV) required for the lateral maneuvers: (i) a ballistic descent trajectory with a minimal ΔV cost represents the reference trajectory that implements no lateral search maneuvers; (ii) a planar descent with a decaying lateral oscillation which has an intermediate ΔV cost and a small search area; (iii) a nested series of decreasing sized box trajectories offering intermediate ΔV costs of varying degrees depending on the specific parameters; and, (iv) a quasi-spiral trajectory of decreasing radius which imposes the highest ΔV cost but with the largest lateral search area. Computations and simulations determined that the proposed viffing maneuvers are feasible and permit accurate targeting of Enceladian geyser vents at modest cost in ΔV. We also briefly assessed the problem of mapping the Enceladian plume during the descent, which will ultimately be necessary for viffing.</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lastRenderedPageBreak/>
        <w:t xml:space="preserve">Szczerba, M., McCarty, D.K., Derkowski, A., Kowalik, M., </w:t>
      </w:r>
      <w:r w:rsidR="00616347">
        <w:t xml:space="preserve">2020. </w:t>
      </w:r>
      <w:r w:rsidRPr="003532DF">
        <w:t>Molecular dynamics simulations of interactions of organic molecules found in oil with smectite: Influence of brine chemistry on oil recovery. Journal of Petroleum Science and Engineering 191, 107148.</w:t>
      </w:r>
    </w:p>
    <w:p w:rsidR="00DB42FE" w:rsidRPr="003532DF" w:rsidRDefault="00DB42FE" w:rsidP="00616347">
      <w:pPr>
        <w:pStyle w:val="EndNoteBibliography"/>
        <w:ind w:left="360"/>
      </w:pPr>
      <w:r w:rsidRPr="003532DF">
        <w:t>http://www.sciencedirect.com/science/article/pii/S0920410520302357</w:t>
      </w:r>
    </w:p>
    <w:p w:rsidR="00DB42FE" w:rsidRPr="003532DF" w:rsidRDefault="00DB42FE" w:rsidP="00616347">
      <w:pPr>
        <w:pStyle w:val="EndNoteBibliography"/>
        <w:ind w:left="360"/>
      </w:pPr>
      <w:r w:rsidRPr="003532DF">
        <w:t>The study is aimed at employing molecular dynamics simulations to study the interactions between smectite and major oil constituents, along with the impact of different brine chemistry (type of cation in a solution) and ionic strength on the compound mobility in fine pores.</w:t>
      </w:r>
    </w:p>
    <w:p w:rsidR="00DB42FE" w:rsidRPr="003532DF" w:rsidRDefault="00DB42FE" w:rsidP="00616347">
      <w:pPr>
        <w:pStyle w:val="EndNoteBibliography"/>
        <w:ind w:left="360"/>
      </w:pPr>
      <w:r w:rsidRPr="003532DF">
        <w:t>Clay minerals with smectitic type of mineral outer surface (smectite, illite-smectite, illite) are major constituents in many unconventional oil and gas reservoirs. Therefore, smectite was used as a model compound to test interactions of oil compounds with mineral surfaces. Natural crude oil is a complex mixture, which - for the purpose of simulating an influence of surrounding fluid on its interactions with smectite surfaces - needs to be simplified. The following molecules were selected as organic model compounds: decane, quinolone, nonanoic acid, benzamide, and heptylamine. Various protonation states were considered.</w:t>
      </w:r>
    </w:p>
    <w:p w:rsidR="00DB42FE" w:rsidRPr="003532DF" w:rsidRDefault="00DB42FE" w:rsidP="00616347">
      <w:pPr>
        <w:pStyle w:val="EndNoteBibliography"/>
        <w:ind w:left="360"/>
      </w:pPr>
      <w:r w:rsidRPr="003532DF">
        <w:t>The first two sets of simulations showed remarkably different interactions of the selected organic molecules with the smectite surface. In the first one, three water/oil coverage models of the surface were considered. In the second one, two different pore sizes were taken into account: 3 nm and 5 nm. Significant differences were readably visible between polar and non-polar organic molecules. Also, the degree of protonation was found to be a crucial factor affecting the molecules’ affinity to the mineral surface. The molecules that are well soluble in cyclohexane (here representing crude hydrocarbons phase) formed droplets in the water phase, whereas organic compounds miscible in water were concentrated at the water-monolayer film on the smectite surface. Neutral organic molecules in the interlayer influences hydration spheres of the cations and their distance from the surface, while organic cations tend to substitute for inorganic ones.</w:t>
      </w:r>
    </w:p>
    <w:p w:rsidR="00DB42FE" w:rsidRPr="003532DF" w:rsidRDefault="00DB42FE" w:rsidP="00616347">
      <w:pPr>
        <w:pStyle w:val="EndNoteBibliography"/>
        <w:spacing w:after="0"/>
        <w:ind w:left="360"/>
      </w:pPr>
      <w:r w:rsidRPr="003532DF">
        <w:t>The third set of calculations aimed at testing mobility of organic model compounds within a wide-open smectite interlayer space (acting as a narrow pore model), under one-dimensional pressure. The results show significant differences in the pressure that allows expulsion of organic molecules in different systems and different ions from a narrow slit. The mobility of oil compounds depends mainly on differences in the type of molecules and the size of effective hydration sphere of the cations adsorbed on a mineral surface, which is clearly visible in the simulations.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Tabor, C.R., Bardeen, C.G., Otto-Bliesner, B.L., Garcia, R.R., Toon, O.B., </w:t>
      </w:r>
      <w:r w:rsidR="00616347">
        <w:t xml:space="preserve">2020. </w:t>
      </w:r>
      <w:r w:rsidRPr="003532DF">
        <w:t>Causes and climatic consequences of the impact winter at the Cretaceous-Paleogene boundary. Geophysical Research Letters 47, e60121.</w:t>
      </w:r>
    </w:p>
    <w:p w:rsidR="00DB42FE" w:rsidRPr="003532DF" w:rsidRDefault="00DB42FE" w:rsidP="00616347">
      <w:pPr>
        <w:pStyle w:val="EndNoteBibliography"/>
        <w:ind w:left="360"/>
      </w:pPr>
      <w:r w:rsidRPr="003532DF">
        <w:t>https://doi.org/10.1029/2019GL085572</w:t>
      </w:r>
    </w:p>
    <w:p w:rsidR="00DB42FE" w:rsidRPr="003532DF" w:rsidRDefault="00DB42FE" w:rsidP="00616347">
      <w:pPr>
        <w:pStyle w:val="EndNoteBibliography"/>
        <w:ind w:left="360"/>
      </w:pPr>
      <w:r w:rsidRPr="003532DF">
        <w:t xml:space="preserve">Abstract: Prolonged periods of low light and cold temperatures at Earth's surface are hypothesized effects of the end‐Cretaceous asteroid impact. However, debate remains about the causes and consequences of this “impact winter.” We perform simulations of the Chicxulub impact with an Earth system model that can simulate the evolution of extreme aerosol loading to quantify the climatic responses to emissions (soot, sulfur, and dust) associated with the impact winter. We show that all impact winter emissions can drastically reduce surface temperature and precipitation. However, only soot emission from impact‐driven firestorms is capable of reducing light to below the </w:t>
      </w:r>
      <w:r w:rsidRPr="003532DF">
        <w:lastRenderedPageBreak/>
        <w:t>photosynthetic threshold for many months. Therefore, our results suggest that widespread fires may have been necessary to produce the observed pattern of marine extinction across the Cretaceous‐Paleogene boundary. We identify polar coasts and the surrounding open oceans as regions likely to have experienced the least climatic, and biotic, disruption from the impact winter.</w:t>
      </w:r>
    </w:p>
    <w:p w:rsidR="00DB42FE" w:rsidRPr="003532DF" w:rsidRDefault="00DB42FE" w:rsidP="00616347">
      <w:pPr>
        <w:pStyle w:val="EndNoteBibliography"/>
        <w:spacing w:after="0"/>
        <w:ind w:left="360"/>
      </w:pPr>
      <w:r w:rsidRPr="003532DF">
        <w:t>Plain Language Summary: Over 75% of all species went extinct across the Cretaceous‐Paleogene boundary (66 million years ago). This extinction coincided with a massive asteroid impact in the Yucatan Peninsula, which emitted material high into the atmosphere and potentially caused widespread fires. These emissions from the impactor, impact site, and fires would have blocked sunlight from reaching the surface, resulting in an “impact winter” that likely contributed to the mass extinction. However, details of the impact winter have been difficult to quantify. Here we use a state‐of‐the‐art Earth system model to simulate the climate responses to emission of dust and sulfur from the asteroid impact and soot from fires. We find that all simulated emission scenarios reduce sunlight at the surface, cause global cooling, and disrupt the hydrologic cycle. However, only soot emission from fires is able to reduce sunlight, and therefore prevent the growth of primary producers, for long enough to potentially starve large marine organisms. Our results suggest that widespread fires and the resulting soot emission may have been an important component of the extinction. Further, in all emission scenarios we find that the impact winter was least disruptive to the climate in the high‐latitude regions, potentially providing refugia for life.</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Tait, A.W., Gagen, E.J., Wilson, S.A., Tomkins, A.G., Southam, G., </w:t>
      </w:r>
      <w:r w:rsidR="00616347">
        <w:t xml:space="preserve">2020. </w:t>
      </w:r>
      <w:r w:rsidRPr="003532DF">
        <w:t>Eukaryotic colonization of micrometer-scale cracks in rocks: A “microfluidics” experiment using naturally weathered meteorites from the Nullarbor Plain, Australia. Astrobiology 20, 364-374.</w:t>
      </w:r>
    </w:p>
    <w:p w:rsidR="00DB42FE" w:rsidRPr="003532DF" w:rsidRDefault="00DB42FE" w:rsidP="00616347">
      <w:pPr>
        <w:pStyle w:val="EndNoteBibliography"/>
        <w:ind w:left="360"/>
      </w:pPr>
      <w:r w:rsidRPr="003532DF">
        <w:t>doi.org/10.1089/ast.2019.2077</w:t>
      </w:r>
    </w:p>
    <w:p w:rsidR="00DB42FE" w:rsidRPr="003532DF" w:rsidRDefault="00DB42FE" w:rsidP="00616347">
      <w:pPr>
        <w:pStyle w:val="EndNoteBibliography"/>
        <w:spacing w:after="0"/>
        <w:ind w:left="360"/>
      </w:pPr>
      <w:r w:rsidRPr="003532DF">
        <w:t>The advent of microfluidics has revolutionized the way we understand how microorganisms propagate through microporous spaces. Here, we apply this understanding to the study of how endolithic environmental microorganisms colonize the interiors of sterile rock. The substrates used for our study are stony meteorites from the Nullarbor Plain, Australia; a semiarid limestone karst that provides an ideal setting for preserving meteorites. Periodic flooding of the Nullarbor provides a mechanism by which microorganisms and exogenous nutrients may infiltrate meteorites. Our laboratory experiments show that environmental microorganisms reach depths greater than 400 μm by propagating through existing brecciation, passing through cracks no wider than the diameter of a resident cell (</w:t>
      </w:r>
      <w:r w:rsidRPr="003532DF">
        <w:rPr>
          <w:i/>
        </w:rPr>
        <w:t>i.e.</w:t>
      </w:r>
      <w:r w:rsidRPr="003532DF">
        <w:t xml:space="preserve">, </w:t>
      </w:r>
      <w:r w:rsidRPr="003532DF">
        <w:rPr>
          <w:rFonts w:ascii="Cambria Math" w:hAnsi="Cambria Math" w:cs="Cambria Math"/>
        </w:rPr>
        <w:t>∼</w:t>
      </w:r>
      <w:r w:rsidRPr="003532DF">
        <w:t>5</w:t>
      </w:r>
      <w:r w:rsidRPr="003532DF">
        <w:rPr>
          <w:rFonts w:cs="Calibri"/>
        </w:rPr>
        <w:t> μ</w:t>
      </w:r>
      <w:r w:rsidRPr="003532DF">
        <w:t xml:space="preserve">m). Our observations are consistent with the propagation of these eukaryotic cells via growth and cell division rather than motility. The morphology of the microorganisms changed as a result of propagation through micrometer-scale cracks, as has been observed previously for bacteria on microfluidic chips. It has been suggested that meteorites could have served as preferred habitats for microorganisms on ancient Mars. Based on our results, the depths reached by terrestrial microorganisms within meteorites would be sufficient to mitigate against the harmful effects of ionizing radiation, such as UV light, in Earth's deserts and potentially on Mars, if similar processes of microbial colonization had once been active there. Thus, meteorites landing in ancient lakes on Mars, that later dried out, could have been some of the last inhabited locations on the surface, serving as refugia before the planet's surface became inhospitable. Finally, our observations suggest that terrestrial microorganisms can colonize very fine cracks within meteorites (and potentially spaceships and rovers) on unexpectedly short timescales, with important implications for both recognition of extraterrestrial life in returned geological samples and planetary protection. </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Tan, J., Hu, R., Wang, W., Dick, J., </w:t>
      </w:r>
      <w:r w:rsidR="00616347">
        <w:t xml:space="preserve">2020. </w:t>
      </w:r>
      <w:r w:rsidRPr="003532DF">
        <w:t>Palynological analysis of the late Ordovician - early Silurian black shales in South China provides new insights for the investigation of pore systems in shale gas reservoirs. Marine and Petroleum Geology 116, 104145.</w:t>
      </w:r>
    </w:p>
    <w:p w:rsidR="00DB42FE" w:rsidRPr="003532DF" w:rsidRDefault="00DB42FE" w:rsidP="00616347">
      <w:pPr>
        <w:pStyle w:val="EndNoteBibliography"/>
        <w:ind w:left="360"/>
      </w:pPr>
      <w:r w:rsidRPr="003532DF">
        <w:t>http://www.sciencedirect.com/science/article/pii/S0264817219305975</w:t>
      </w:r>
    </w:p>
    <w:p w:rsidR="00DB42FE" w:rsidRPr="003532DF" w:rsidRDefault="00DB42FE" w:rsidP="00616347">
      <w:pPr>
        <w:pStyle w:val="EndNoteBibliography"/>
        <w:spacing w:after="0"/>
        <w:ind w:left="360"/>
      </w:pPr>
      <w:r w:rsidRPr="003532DF">
        <w:t>The late Ordovician Wufeng and early Silurian Lungmachi formations are primary targets for shale gas exploration in the southeastern marginal area of the Sichuan Basin, Southwest China. In this research, different groups of micro-fossils (large numbers of taxonomically unrelated organic- and inorganic-walled fossil groups) from the two formations were analyzed in order to investigate their pore characters under the evaluation of shale gas reservoirs. A large number of biological autologous micro-nano pores in radiolarians, sponge spicules, acritarchs, conodonts, chitinozoans, and scolecodonts were analyzed. The results show that most pores are densely and randomly distributed with honeycomb or irregular shapes. Although the samples are over mature and were deeply buried, micro-fossils remain in a large number of biological micro-nano pores. Pore diameter varies from 20 to 4000 nm but differs among micro-fossil groups. The widely distributed siliceous micro-fossils, such as radiolarians and sponge spicules, could enhance the brittleness of shales. They may promote the development of natural fractures during diagenesis or artificial fractures during stimulation. When fractures are connected with micro-nano pores in the shale, they could provide effective storage space and improve the overall connectivity. In most of the analyzed shale samples, micro-fossils show positive correlation with high TOC strata. Considering the importance of micro-fossils and their pores in the perspective of hydrocarbon generation, connectivity, accumulation, and production of shale gas, we suggest that micro-fossil pores should be included in the classification of pore systems.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Tang, X.-Q., Pu, J.-C., Zheng, H.-B., Yu, X.-D., Chen, X.-F., Yuan, P.-Q., Cheng, Z.-M., Yuan, W.-K., </w:t>
      </w:r>
      <w:r w:rsidR="00616347">
        <w:t xml:space="preserve">2020. </w:t>
      </w:r>
      <w:r w:rsidRPr="003532DF">
        <w:t>Demetallization of heavy oils of high metal content through pyrolysis under supercritical water environment. Energy &amp; Fuels 34, 2861-2869.</w:t>
      </w:r>
    </w:p>
    <w:p w:rsidR="00DB42FE" w:rsidRPr="003532DF" w:rsidRDefault="00DB42FE" w:rsidP="00616347">
      <w:pPr>
        <w:pStyle w:val="EndNoteBibliography"/>
        <w:ind w:left="360"/>
      </w:pPr>
      <w:r w:rsidRPr="003532DF">
        <w:t>https://doi.org/10.1021/acs.energyfuels.9b04064</w:t>
      </w:r>
    </w:p>
    <w:p w:rsidR="00DB42FE" w:rsidRPr="003532DF" w:rsidRDefault="00DB42FE" w:rsidP="00616347">
      <w:pPr>
        <w:pStyle w:val="EndNoteBibliography"/>
        <w:spacing w:after="0"/>
        <w:ind w:left="360"/>
      </w:pPr>
      <w:r w:rsidRPr="003532DF">
        <w:t>Through pyrolysis under a supercritical water (SCW) environment, the demetallization of Tsingtao vacuum residuum (VR) and Tahe atmospheric residuum (AR) with a total vanadium and nickel content above 300 ppm was studied. By introducing SCW, pyrolysis of heavy oil can be carried out in an emulsion structure in which heavy fractions rich in metals are concentrated in oil droplets. A metal removal rate higher than 90% could be obtained in 2 h, which is faster than the pyrolysis under the nitrogen environment. Although the two heavy oils have similar apparent properties, Tsingtao VR is characterized by the metal enrichment in the heaviest asphaltenes and the higher condensation activity of asphaltenes. Because of the preferential condensation of heavy fractions rich in metals, the liquid product yield of Tsingtao VR could be 15 wt % higher than that of Tahe AR at the metal removal rate of 70% to 90%.</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Tao, M., Chen, X., Ma, Y., Wang, Y., Li, Z., Xiao, W., Huang, Z., </w:t>
      </w:r>
      <w:r w:rsidR="00616347">
        <w:t xml:space="preserve">2020. </w:t>
      </w:r>
      <w:r w:rsidRPr="003532DF">
        <w:t>Geological–geochemical models and isotope fractionation laws and control factors of thermogenic coalbed gas in Panxian, China. Energy &amp; Fuels 34, 2665-2673.</w:t>
      </w:r>
    </w:p>
    <w:p w:rsidR="00DB42FE" w:rsidRPr="003532DF" w:rsidRDefault="00DB42FE" w:rsidP="00616347">
      <w:pPr>
        <w:pStyle w:val="EndNoteBibliography"/>
        <w:ind w:left="360"/>
      </w:pPr>
      <w:r w:rsidRPr="003532DF">
        <w:lastRenderedPageBreak/>
        <w:t>https://doi.org/10.1021/acs.energyfuels.9b03254</w:t>
      </w:r>
    </w:p>
    <w:p w:rsidR="00DB42FE" w:rsidRPr="003532DF" w:rsidRDefault="00DB42FE" w:rsidP="00616347">
      <w:pPr>
        <w:pStyle w:val="EndNoteBibliography"/>
        <w:spacing w:after="0"/>
        <w:ind w:left="360"/>
      </w:pPr>
      <w:r w:rsidRPr="003532DF">
        <w:t xml:space="preserve">Coalbed gas (CBG) is a typical self-generated and self-stored gas and is one of the most ideal materials for studying the geological–geochemical models of natural gas and its source rock. However, studies show that CBG is usually a mixed gas consisting of thermogenic gas and secondary biogenic gas which make its original geochemical compositions change. We collected nine CBG samples and the corresponding coal samples from a coal core drilled in a CBG well in the Panxian Basin. The gas samples were measured using a MAT-271 trace-gas mass spectrometer for the molecular components and a Delta Plus XP stable isotope mass spectrometer for the carbon and hydrogen isotope values. The coal </w:t>
      </w:r>
      <w:r w:rsidRPr="003532DF">
        <w:rPr>
          <w:i/>
        </w:rPr>
        <w:t>R</w:t>
      </w:r>
      <w:r w:rsidRPr="003532DF">
        <w:rPr>
          <w:vertAlign w:val="subscript"/>
        </w:rPr>
        <w:t>max</w:t>
      </w:r>
      <w:r w:rsidRPr="003532DF">
        <w:t xml:space="preserve"> values were measured by a LEICA DM2500P and MSP-II microscope photometer. The main geochemical characteristics of the CBG samples are as follows: CH</w:t>
      </w:r>
      <w:r w:rsidRPr="003532DF">
        <w:rPr>
          <w:vertAlign w:val="subscript"/>
        </w:rPr>
        <w:t>4</w:t>
      </w:r>
      <w:r w:rsidRPr="003532DF">
        <w:t xml:space="preserve"> concentrations from 97.28 to 95.16%, C</w:t>
      </w:r>
      <w:r w:rsidRPr="003532DF">
        <w:rPr>
          <w:vertAlign w:val="subscript"/>
        </w:rPr>
        <w:t>1</w:t>
      </w:r>
      <w:r w:rsidRPr="003532DF">
        <w:t>/C</w:t>
      </w:r>
      <w:r w:rsidRPr="003532DF">
        <w:rPr>
          <w:vertAlign w:val="subscript"/>
        </w:rPr>
        <w:t>1–</w:t>
      </w:r>
      <w:r w:rsidRPr="003532DF">
        <w:rPr>
          <w:i/>
          <w:vertAlign w:val="subscript"/>
        </w:rPr>
        <w:t>n</w:t>
      </w:r>
      <w:r w:rsidRPr="003532DF">
        <w:t xml:space="preserve"> from 0.995 to 0.999; δ</w:t>
      </w:r>
      <w:r w:rsidRPr="003532DF">
        <w:rPr>
          <w:vertAlign w:val="superscript"/>
        </w:rPr>
        <w:t>13</w:t>
      </w:r>
      <w:r w:rsidRPr="003532DF">
        <w:t>C</w:t>
      </w:r>
      <w:r w:rsidRPr="003532DF">
        <w:rPr>
          <w:vertAlign w:val="subscript"/>
        </w:rPr>
        <w:t>1</w:t>
      </w:r>
      <w:r w:rsidRPr="003532DF">
        <w:t xml:space="preserve"> from −33.2 to −41.9‰, δ</w:t>
      </w:r>
      <w:r w:rsidRPr="003532DF">
        <w:rPr>
          <w:i/>
        </w:rPr>
        <w:t>D</w:t>
      </w:r>
      <w:r w:rsidRPr="003532DF">
        <w:rPr>
          <w:vertAlign w:val="subscript"/>
        </w:rPr>
        <w:t>CH4</w:t>
      </w:r>
      <w:r w:rsidRPr="003532DF">
        <w:t xml:space="preserve"> from −170.6 to −123.5‰, δ</w:t>
      </w:r>
      <w:r w:rsidRPr="003532DF">
        <w:rPr>
          <w:vertAlign w:val="superscript"/>
        </w:rPr>
        <w:t>13</w:t>
      </w:r>
      <w:r w:rsidRPr="003532DF">
        <w:t>C</w:t>
      </w:r>
      <w:r w:rsidRPr="003532DF">
        <w:rPr>
          <w:vertAlign w:val="subscript"/>
        </w:rPr>
        <w:t>2</w:t>
      </w:r>
      <w:r w:rsidRPr="003532DF">
        <w:t xml:space="preserve"> from −29.7 to −23.2‰, and δ</w:t>
      </w:r>
      <w:r w:rsidRPr="003532DF">
        <w:rPr>
          <w:vertAlign w:val="superscript"/>
        </w:rPr>
        <w:t>13</w:t>
      </w:r>
      <w:r w:rsidRPr="003532DF">
        <w:t>C</w:t>
      </w:r>
      <w:r w:rsidRPr="003532DF">
        <w:rPr>
          <w:vertAlign w:val="subscript"/>
        </w:rPr>
        <w:t>CO2</w:t>
      </w:r>
      <w:r w:rsidRPr="003532DF">
        <w:t xml:space="preserve"> from −24.6 to −20.0‰. The characteristics reflect that Panxian CBG is a pure thermogenic gas, thus, it is more suitable for studying the geological–geochemical model system of thermogenic natural gas. Some important and new discoveries are presented in this paper: a discriminant system, δ</w:t>
      </w:r>
      <w:r w:rsidRPr="003532DF">
        <w:rPr>
          <w:vertAlign w:val="superscript"/>
        </w:rPr>
        <w:t>13</w:t>
      </w:r>
      <w:r w:rsidRPr="003532DF">
        <w:t>C</w:t>
      </w:r>
      <w:r w:rsidRPr="003532DF">
        <w:rPr>
          <w:vertAlign w:val="subscript"/>
        </w:rPr>
        <w:t>1</w:t>
      </w:r>
      <w:r w:rsidRPr="003532DF">
        <w:t>–Δδ</w:t>
      </w:r>
      <w:r w:rsidRPr="003532DF">
        <w:rPr>
          <w:vertAlign w:val="superscript"/>
        </w:rPr>
        <w:t>13</w:t>
      </w:r>
      <w:r w:rsidRPr="003532DF">
        <w:t>C</w:t>
      </w:r>
      <w:r w:rsidRPr="003532DF">
        <w:rPr>
          <w:vertAlign w:val="subscript"/>
        </w:rPr>
        <w:t>CO2–C1</w:t>
      </w:r>
      <w:r w:rsidRPr="003532DF">
        <w:t>, is proposed, which could be used to effectively distinguish between biogenic and thermogenic CBG, and the reasonable boundary values of δ</w:t>
      </w:r>
      <w:r w:rsidRPr="003532DF">
        <w:rPr>
          <w:vertAlign w:val="superscript"/>
        </w:rPr>
        <w:t>13</w:t>
      </w:r>
      <w:r w:rsidRPr="003532DF">
        <w:t>C</w:t>
      </w:r>
      <w:r w:rsidRPr="003532DF">
        <w:rPr>
          <w:vertAlign w:val="subscript"/>
        </w:rPr>
        <w:t>1</w:t>
      </w:r>
      <w:r w:rsidRPr="003532DF">
        <w:t xml:space="preserve"> and Δδ</w:t>
      </w:r>
      <w:r w:rsidRPr="003532DF">
        <w:rPr>
          <w:vertAlign w:val="superscript"/>
        </w:rPr>
        <w:t>13</w:t>
      </w:r>
      <w:r w:rsidRPr="003532DF">
        <w:t>C</w:t>
      </w:r>
      <w:r w:rsidRPr="003532DF">
        <w:rPr>
          <w:vertAlign w:val="subscript"/>
        </w:rPr>
        <w:t>CO2–C1</w:t>
      </w:r>
      <w:r w:rsidRPr="003532DF">
        <w:t xml:space="preserve"> may be −50‰ and 25‰, respectively; a series of models referring to isotope values, </w:t>
      </w:r>
      <w:r w:rsidRPr="003532DF">
        <w:rPr>
          <w:i/>
        </w:rPr>
        <w:t>R</w:t>
      </w:r>
      <w:r w:rsidRPr="003532DF">
        <w:rPr>
          <w:vertAlign w:val="subscript"/>
        </w:rPr>
        <w:t>max</w:t>
      </w:r>
      <w:r w:rsidRPr="003532DF">
        <w:t>, and depth, such as δ</w:t>
      </w:r>
      <w:r w:rsidRPr="003532DF">
        <w:rPr>
          <w:vertAlign w:val="superscript"/>
        </w:rPr>
        <w:t>13</w:t>
      </w:r>
      <w:r w:rsidRPr="003532DF">
        <w:t>C</w:t>
      </w:r>
      <w:r w:rsidRPr="003532DF">
        <w:rPr>
          <w:vertAlign w:val="subscript"/>
        </w:rPr>
        <w:t>1</w:t>
      </w:r>
      <w:r w:rsidRPr="003532DF">
        <w:t xml:space="preserve"> = 31.58</w:t>
      </w:r>
      <w:r w:rsidRPr="003532DF">
        <w:rPr>
          <w:i/>
        </w:rPr>
        <w:t>R</w:t>
      </w:r>
      <w:r w:rsidRPr="003532DF">
        <w:rPr>
          <w:vertAlign w:val="subscript"/>
        </w:rPr>
        <w:t>max</w:t>
      </w:r>
      <w:r w:rsidRPr="003532DF">
        <w:t xml:space="preserve"> – 100.02 (</w:t>
      </w:r>
      <w:r w:rsidRPr="003532DF">
        <w:rPr>
          <w:i/>
        </w:rPr>
        <w:t>r</w:t>
      </w:r>
      <w:r w:rsidRPr="003532DF">
        <w:t xml:space="preserve"> = 0.913), δ</w:t>
      </w:r>
      <w:r w:rsidRPr="003532DF">
        <w:rPr>
          <w:i/>
        </w:rPr>
        <w:t>D</w:t>
      </w:r>
      <w:r w:rsidRPr="003532DF">
        <w:rPr>
          <w:vertAlign w:val="subscript"/>
        </w:rPr>
        <w:t>CH4</w:t>
      </w:r>
      <w:r w:rsidRPr="003532DF">
        <w:t xml:space="preserve"> = 248.68</w:t>
      </w:r>
      <w:r w:rsidRPr="003532DF">
        <w:rPr>
          <w:i/>
        </w:rPr>
        <w:t>R</w:t>
      </w:r>
      <w:r w:rsidRPr="003532DF">
        <w:rPr>
          <w:vertAlign w:val="subscript"/>
        </w:rPr>
        <w:t>max</w:t>
      </w:r>
      <w:r w:rsidRPr="003532DF">
        <w:t xml:space="preserve"> – 625.73 (</w:t>
      </w:r>
      <w:r w:rsidRPr="003532DF">
        <w:rPr>
          <w:i/>
        </w:rPr>
        <w:t>r</w:t>
      </w:r>
      <w:r w:rsidRPr="003532DF">
        <w:t xml:space="preserve"> = 0.946), δ</w:t>
      </w:r>
      <w:r w:rsidRPr="003532DF">
        <w:rPr>
          <w:i/>
        </w:rPr>
        <w:t>D</w:t>
      </w:r>
      <w:r w:rsidRPr="003532DF">
        <w:rPr>
          <w:vertAlign w:val="subscript"/>
        </w:rPr>
        <w:t>CH4</w:t>
      </w:r>
      <w:r w:rsidRPr="003532DF">
        <w:t xml:space="preserve"> = 7.5228δ</w:t>
      </w:r>
      <w:r w:rsidRPr="003532DF">
        <w:rPr>
          <w:vertAlign w:val="superscript"/>
        </w:rPr>
        <w:t>13</w:t>
      </w:r>
      <w:r w:rsidRPr="003532DF">
        <w:t>C</w:t>
      </w:r>
      <w:r w:rsidRPr="003532DF">
        <w:rPr>
          <w:vertAlign w:val="subscript"/>
        </w:rPr>
        <w:t>1</w:t>
      </w:r>
      <w:r w:rsidRPr="003532DF">
        <w:t xml:space="preserve"> + 148.2 (</w:t>
      </w:r>
      <w:r w:rsidRPr="003532DF">
        <w:rPr>
          <w:i/>
        </w:rPr>
        <w:t>r</w:t>
      </w:r>
      <w:r w:rsidRPr="003532DF">
        <w:t xml:space="preserve"> = 0.990) and δ</w:t>
      </w:r>
      <w:r w:rsidRPr="003532DF">
        <w:rPr>
          <w:vertAlign w:val="superscript"/>
        </w:rPr>
        <w:t>13</w:t>
      </w:r>
      <w:r w:rsidRPr="003532DF">
        <w:t>C</w:t>
      </w:r>
      <w:r w:rsidRPr="003532DF">
        <w:rPr>
          <w:vertAlign w:val="subscript"/>
        </w:rPr>
        <w:t>2</w:t>
      </w:r>
      <w:r w:rsidRPr="003532DF">
        <w:t xml:space="preserve"> = 20.722</w:t>
      </w:r>
      <w:r w:rsidRPr="003532DF">
        <w:rPr>
          <w:i/>
        </w:rPr>
        <w:t>R</w:t>
      </w:r>
      <w:r w:rsidRPr="003532DF">
        <w:rPr>
          <w:vertAlign w:val="subscript"/>
        </w:rPr>
        <w:t>max</w:t>
      </w:r>
      <w:r w:rsidRPr="003532DF">
        <w:t xml:space="preserve"> – 66.596 (</w:t>
      </w:r>
      <w:r w:rsidRPr="003532DF">
        <w:rPr>
          <w:i/>
        </w:rPr>
        <w:t>r</w:t>
      </w:r>
      <w:r w:rsidRPr="003532DF">
        <w:t xml:space="preserve"> = 0.681), were established for the first time; the carbon isotope fractionation degree of CBG components decreases with the increase in their relative molecular mass. The temperature and the molecular mass of CBG components play important roles in controlling the isotope compositions and variations of CBG. The models and the isotope fractionation laws may be more reliable and precise because of the self-generating and self-storing characteristics of CBG. The results have not only great application value in the fossil energy fields but also important scientific significance in gas geochemistry.</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Tarhriz, V., Nouioui, I., Spröer, C., Verbarg, S., Ebrahimi, V., Cortés-Albayay, C., Schumann, P., Hejazi, M.A., Klenk, H.-P., Hejazi, M.S., </w:t>
      </w:r>
      <w:r w:rsidR="00616347">
        <w:t xml:space="preserve">2020. </w:t>
      </w:r>
      <w:r w:rsidRPr="003532DF">
        <w:rPr>
          <w:i/>
        </w:rPr>
        <w:t xml:space="preserve">Pseudomonas khazarica </w:t>
      </w:r>
      <w:r w:rsidRPr="003532DF">
        <w:t>sp. nov., a polycyclic aromatic hydrocarbon-degrading bacterium isolated from Khazar Sea sediments. Antonie van Leeuwenhoek 113, 521-532.</w:t>
      </w:r>
    </w:p>
    <w:p w:rsidR="00DB42FE" w:rsidRPr="003532DF" w:rsidRDefault="00DB42FE" w:rsidP="00616347">
      <w:pPr>
        <w:pStyle w:val="EndNoteBibliography"/>
        <w:ind w:left="360"/>
      </w:pPr>
      <w:r w:rsidRPr="003532DF">
        <w:t>https://doi.org/10.1007/s10482-019-01361-w</w:t>
      </w:r>
    </w:p>
    <w:p w:rsidR="00DB42FE" w:rsidRPr="003532DF" w:rsidRDefault="00DB42FE" w:rsidP="00616347">
      <w:pPr>
        <w:pStyle w:val="EndNoteBibliography"/>
        <w:spacing w:after="0"/>
        <w:ind w:left="360"/>
      </w:pPr>
      <w:r w:rsidRPr="003532DF">
        <w:t>A novel Gram-negative, aerobic, motile and rod-shaped bacterium with the potential to biodegrade polycyclic aromatic hydrocarbons, was isolated from Khazar (Caspian) Sea. Strain TBZ2</w:t>
      </w:r>
      <w:r w:rsidRPr="003532DF">
        <w:rPr>
          <w:vertAlign w:val="superscript"/>
        </w:rPr>
        <w:t>T</w:t>
      </w:r>
      <w:r w:rsidRPr="003532DF">
        <w:t xml:space="preserve"> grows in the absence of NaCl and tolerates up to 8.5% NaCl. Growth occurred at pH 3.0–10.0 (optimum, pH 6.0–7.0) and 10–45 °C (optimum, 30 °C). The major fatty acids are C</w:t>
      </w:r>
      <w:r w:rsidRPr="003532DF">
        <w:rPr>
          <w:vertAlign w:val="subscript"/>
        </w:rPr>
        <w:t>18:1</w:t>
      </w:r>
      <w:r w:rsidRPr="003532DF">
        <w:rPr>
          <w:i/>
        </w:rPr>
        <w:t>ω</w:t>
      </w:r>
      <w:r w:rsidRPr="003532DF">
        <w:t>7C, C</w:t>
      </w:r>
      <w:r w:rsidRPr="003532DF">
        <w:rPr>
          <w:vertAlign w:val="subscript"/>
        </w:rPr>
        <w:t>16:1</w:t>
      </w:r>
      <w:r w:rsidRPr="003532DF">
        <w:rPr>
          <w:i/>
        </w:rPr>
        <w:t>ω</w:t>
      </w:r>
      <w:r w:rsidRPr="003532DF">
        <w:t>7C/ C</w:t>
      </w:r>
      <w:r w:rsidRPr="003532DF">
        <w:rPr>
          <w:vertAlign w:val="subscript"/>
        </w:rPr>
        <w:t>15:0</w:t>
      </w:r>
      <w:r w:rsidRPr="003532DF">
        <w:t xml:space="preserve"> iso 2-OH, C</w:t>
      </w:r>
      <w:r w:rsidRPr="003532DF">
        <w:rPr>
          <w:vertAlign w:val="subscript"/>
        </w:rPr>
        <w:t>16:0</w:t>
      </w:r>
      <w:r w:rsidRPr="003532DF">
        <w:t>, C</w:t>
      </w:r>
      <w:r w:rsidRPr="003532DF">
        <w:rPr>
          <w:vertAlign w:val="subscript"/>
        </w:rPr>
        <w:t>12:0,</w:t>
      </w:r>
      <w:r w:rsidRPr="003532DF">
        <w:t xml:space="preserve"> C</w:t>
      </w:r>
      <w:r w:rsidRPr="003532DF">
        <w:rPr>
          <w:vertAlign w:val="subscript"/>
        </w:rPr>
        <w:t>10:0</w:t>
      </w:r>
      <w:r w:rsidRPr="003532DF">
        <w:t xml:space="preserve"> 3-OH, C</w:t>
      </w:r>
      <w:r w:rsidRPr="003532DF">
        <w:rPr>
          <w:vertAlign w:val="subscript"/>
        </w:rPr>
        <w:t>12:0</w:t>
      </w:r>
      <w:r w:rsidRPr="003532DF">
        <w:t xml:space="preserve"> 3-OH. The major polar lipids include diphosphatidylglycerol, phosphatidylglycerol, phosphatidylethanolamine, phosphatidylcholine and the predominant respiratory quinone is ubiquinone Q-9. The 16S rRNA gene sequence analysis showed that strain TBZ2</w:t>
      </w:r>
      <w:r w:rsidRPr="003532DF">
        <w:rPr>
          <w:vertAlign w:val="superscript"/>
        </w:rPr>
        <w:t>T</w:t>
      </w:r>
      <w:r w:rsidRPr="003532DF">
        <w:t xml:space="preserve"> is a member of the genus </w:t>
      </w:r>
      <w:r w:rsidRPr="003532DF">
        <w:rPr>
          <w:i/>
        </w:rPr>
        <w:t>Pseudomonas</w:t>
      </w:r>
      <w:r w:rsidRPr="003532DF">
        <w:t xml:space="preserve"> with the highest similarity to </w:t>
      </w:r>
      <w:r w:rsidRPr="003532DF">
        <w:rPr>
          <w:i/>
        </w:rPr>
        <w:t>P. oleovorans</w:t>
      </w:r>
      <w:r w:rsidRPr="003532DF">
        <w:t xml:space="preserve"> subsp. </w:t>
      </w:r>
      <w:r w:rsidRPr="003532DF">
        <w:rPr>
          <w:i/>
        </w:rPr>
        <w:t>oleovorans</w:t>
      </w:r>
      <w:r w:rsidRPr="003532DF">
        <w:t xml:space="preserve"> DSM 1045</w:t>
      </w:r>
      <w:r w:rsidRPr="003532DF">
        <w:rPr>
          <w:vertAlign w:val="superscript"/>
        </w:rPr>
        <w:t>T</w:t>
      </w:r>
      <w:r w:rsidRPr="003532DF">
        <w:t xml:space="preserve"> (98.83%), </w:t>
      </w:r>
      <w:r w:rsidRPr="003532DF">
        <w:rPr>
          <w:i/>
        </w:rPr>
        <w:t>P. mendocina</w:t>
      </w:r>
      <w:r w:rsidRPr="003532DF">
        <w:t xml:space="preserve"> NBRC 14162</w:t>
      </w:r>
      <w:r w:rsidRPr="003532DF">
        <w:rPr>
          <w:vertAlign w:val="superscript"/>
        </w:rPr>
        <w:t>T</w:t>
      </w:r>
      <w:r w:rsidRPr="003532DF">
        <w:t xml:space="preserve"> (98.63%), </w:t>
      </w:r>
      <w:r w:rsidRPr="003532DF">
        <w:rPr>
          <w:i/>
        </w:rPr>
        <w:t>P. oleovorans</w:t>
      </w:r>
      <w:r w:rsidRPr="003532DF">
        <w:t xml:space="preserve"> subsp. </w:t>
      </w:r>
      <w:r w:rsidRPr="003532DF">
        <w:rPr>
          <w:i/>
        </w:rPr>
        <w:t>lubricantis</w:t>
      </w:r>
      <w:r w:rsidRPr="003532DF">
        <w:t xml:space="preserve"> RS1</w:t>
      </w:r>
      <w:r w:rsidRPr="003532DF">
        <w:rPr>
          <w:vertAlign w:val="superscript"/>
        </w:rPr>
        <w:t>T</w:t>
      </w:r>
      <w:r w:rsidRPr="003532DF">
        <w:t xml:space="preserve"> (98.61%) and </w:t>
      </w:r>
      <w:r w:rsidRPr="003532DF">
        <w:rPr>
          <w:i/>
        </w:rPr>
        <w:t>P. alcaliphila</w:t>
      </w:r>
      <w:r w:rsidRPr="003532DF">
        <w:t xml:space="preserve"> JCM 10630</w:t>
      </w:r>
      <w:r w:rsidRPr="003532DF">
        <w:rPr>
          <w:vertAlign w:val="superscript"/>
        </w:rPr>
        <w:t>T</w:t>
      </w:r>
      <w:r w:rsidRPr="003532DF">
        <w:t xml:space="preserve"> (98.49%) based on EzBioCloud server. Phylogenetic analyses using housekeeping genes (16S rRNA, </w:t>
      </w:r>
      <w:r w:rsidRPr="003532DF">
        <w:rPr>
          <w:i/>
        </w:rPr>
        <w:t>rpo</w:t>
      </w:r>
      <w:r w:rsidRPr="003532DF">
        <w:t xml:space="preserve">D, </w:t>
      </w:r>
      <w:r w:rsidRPr="003532DF">
        <w:rPr>
          <w:i/>
        </w:rPr>
        <w:t>gyr</w:t>
      </w:r>
      <w:r w:rsidRPr="003532DF">
        <w:t xml:space="preserve">B and </w:t>
      </w:r>
      <w:r w:rsidRPr="003532DF">
        <w:rPr>
          <w:i/>
        </w:rPr>
        <w:t>rpo</w:t>
      </w:r>
      <w:r w:rsidRPr="003532DF">
        <w:t>B) and genome sequences demonstrated that the strain TBZ2</w:t>
      </w:r>
      <w:r w:rsidRPr="003532DF">
        <w:rPr>
          <w:vertAlign w:val="superscript"/>
        </w:rPr>
        <w:t>T</w:t>
      </w:r>
      <w:r w:rsidRPr="003532DF">
        <w:t xml:space="preserve"> formed a distinct branch closely related to the type strains of </w:t>
      </w:r>
      <w:r w:rsidRPr="003532DF">
        <w:rPr>
          <w:i/>
        </w:rPr>
        <w:t>P. mendocina</w:t>
      </w:r>
      <w:r w:rsidRPr="003532DF">
        <w:t xml:space="preserve"> and </w:t>
      </w:r>
      <w:r w:rsidRPr="003532DF">
        <w:rPr>
          <w:i/>
        </w:rPr>
        <w:t>P. guguanensis</w:t>
      </w:r>
      <w:r w:rsidRPr="003532DF">
        <w:t xml:space="preserve">. Digital DNA-DNA hybridisation and average nucleotide </w:t>
      </w:r>
      <w:r w:rsidRPr="003532DF">
        <w:lastRenderedPageBreak/>
        <w:t>identity values between strain TBZ2</w:t>
      </w:r>
      <w:r w:rsidRPr="003532DF">
        <w:rPr>
          <w:vertAlign w:val="superscript"/>
        </w:rPr>
        <w:t>T</w:t>
      </w:r>
      <w:r w:rsidRPr="003532DF">
        <w:t xml:space="preserve"> and its closest relatives, </w:t>
      </w:r>
      <w:r w:rsidRPr="003532DF">
        <w:rPr>
          <w:i/>
        </w:rPr>
        <w:t>P. mendocina</w:t>
      </w:r>
      <w:r w:rsidRPr="003532DF">
        <w:t xml:space="preserve"> NBRC 14162</w:t>
      </w:r>
      <w:r w:rsidRPr="003532DF">
        <w:rPr>
          <w:vertAlign w:val="superscript"/>
        </w:rPr>
        <w:t>T</w:t>
      </w:r>
      <w:r w:rsidRPr="003532DF">
        <w:t xml:space="preserve"> (25.3%, 81.5%) and </w:t>
      </w:r>
      <w:r w:rsidRPr="003532DF">
        <w:rPr>
          <w:i/>
        </w:rPr>
        <w:t>P. guguanensis</w:t>
      </w:r>
      <w:r w:rsidRPr="003532DF">
        <w:t xml:space="preserve"> JCM 18146</w:t>
      </w:r>
      <w:r w:rsidRPr="003532DF">
        <w:rPr>
          <w:vertAlign w:val="superscript"/>
        </w:rPr>
        <w:t>T</w:t>
      </w:r>
      <w:r w:rsidRPr="003532DF">
        <w:t xml:space="preserve"> (26.8%, 79.0%), rate well below the designed threshold for assigning prokaryotic strains to the same species. On the basis of phenotypic, chemotaxonomic, genomic and phylogenetic results, it is recommended that strain TBZ2</w:t>
      </w:r>
      <w:r w:rsidRPr="003532DF">
        <w:rPr>
          <w:vertAlign w:val="superscript"/>
        </w:rPr>
        <w:t>T</w:t>
      </w:r>
      <w:r w:rsidRPr="003532DF">
        <w:t xml:space="preserve"> is a novel species of the genus </w:t>
      </w:r>
      <w:r w:rsidRPr="003532DF">
        <w:rPr>
          <w:i/>
        </w:rPr>
        <w:t>Pseudomonas</w:t>
      </w:r>
      <w:r w:rsidRPr="003532DF">
        <w:t xml:space="preserve">, for which the name </w:t>
      </w:r>
      <w:r w:rsidRPr="003532DF">
        <w:rPr>
          <w:i/>
        </w:rPr>
        <w:t>Pseudomonas khazarica</w:t>
      </w:r>
      <w:r w:rsidRPr="003532DF">
        <w:t xml:space="preserve"> sp. nov., is proposed. The type strain is TBZ2</w:t>
      </w:r>
      <w:r w:rsidRPr="003532DF">
        <w:rPr>
          <w:vertAlign w:val="superscript"/>
        </w:rPr>
        <w:t>T</w:t>
      </w:r>
      <w:r w:rsidRPr="003532DF">
        <w:t xml:space="preserve"> (= LMG 29674</w:t>
      </w:r>
      <w:r w:rsidRPr="003532DF">
        <w:rPr>
          <w:vertAlign w:val="superscript"/>
        </w:rPr>
        <w:t>T</w:t>
      </w:r>
      <w:r w:rsidRPr="003532DF">
        <w:t> = KCTC 52410</w:t>
      </w:r>
      <w:r w:rsidRPr="003532DF">
        <w:rPr>
          <w:vertAlign w:val="superscript"/>
        </w:rPr>
        <w:t>T</w:t>
      </w:r>
      <w:r w:rsidRPr="003532DF">
        <w:t>).</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Teece, B.L., George, S.C., Djokic, T., Campbell, K.A., Ruff, S.W., Van Kranendonk, M.J., </w:t>
      </w:r>
      <w:r w:rsidR="00616347">
        <w:t xml:space="preserve">2020. </w:t>
      </w:r>
      <w:r w:rsidRPr="003532DF">
        <w:t>Biomolecules from fossilized hot spring sinters: Implications for the search for life on Mars. Astrobiology 20, 537-551.</w:t>
      </w:r>
    </w:p>
    <w:p w:rsidR="00DB42FE" w:rsidRPr="003532DF" w:rsidRDefault="00DB42FE" w:rsidP="00616347">
      <w:pPr>
        <w:pStyle w:val="EndNoteBibliography"/>
        <w:ind w:left="360"/>
      </w:pPr>
      <w:r w:rsidRPr="003532DF">
        <w:t>https://doi.org/10.1089/ast.2018.2018</w:t>
      </w:r>
    </w:p>
    <w:p w:rsidR="00DB42FE" w:rsidRPr="003532DF" w:rsidRDefault="00DB42FE" w:rsidP="00616347">
      <w:pPr>
        <w:pStyle w:val="EndNoteBibliography"/>
        <w:spacing w:after="0"/>
        <w:ind w:left="360"/>
      </w:pPr>
      <w:r w:rsidRPr="003532DF">
        <w:t xml:space="preserve">Hot spring environments are commonly dominated by silica sinters that precipitate by the rapid cooling of silica-saturated fluids and the activity of microbial communities. However, the potential for preservation of organic traces of life in silica sinters back through time is not well understood. This is important for the exploration of early life on Earth and possibly Mars. Most previous studies have focused on physical preservation in samples &lt;900 years old, with only a few focused on organic biomarkers. In this study, we investigate the organic geochemistry of hot spring samples from El Tatio, Chile and the Taupo Volcanic Zone, with ages varying from modern to </w:t>
      </w:r>
      <w:r w:rsidRPr="003532DF">
        <w:rPr>
          <w:rFonts w:ascii="Cambria Math" w:hAnsi="Cambria Math" w:cs="Cambria Math"/>
        </w:rPr>
        <w:t>∼</w:t>
      </w:r>
      <w:r w:rsidRPr="003532DF">
        <w:t xml:space="preserve">9.4 ka. Results show that all samples contain opaline silica and contain hydrocarbons that are indicative of a cyanobacterial origin. A </w:t>
      </w:r>
      <w:r w:rsidRPr="003532DF">
        <w:rPr>
          <w:rFonts w:ascii="Cambria Math" w:hAnsi="Cambria Math" w:cs="Cambria Math"/>
        </w:rPr>
        <w:t>∼</w:t>
      </w:r>
      <w:r w:rsidRPr="003532DF">
        <w:t xml:space="preserve">3 ka recrystallized, quartz-bearing sample also contains traces of cyanobacterial biomarkers. No aromatic compounds were detected in a </w:t>
      </w:r>
      <w:r w:rsidRPr="003532DF">
        <w:rPr>
          <w:rFonts w:ascii="Cambria Math" w:hAnsi="Cambria Math" w:cs="Cambria Math"/>
        </w:rPr>
        <w:t>∼</w:t>
      </w:r>
      <w:r w:rsidRPr="003532DF">
        <w:t xml:space="preserve">9.4 ka opal-A sample or in a modern sinter breccia sample. All other samples contain naphthalene, with one sample also containing other polyaromatic hydrocarbons. These aromatic hydrocarbons have a thermally mature distribution that is perhaps reflective of geothermal fluids migrating from deep, rather than surface, reservoirs. These data show that hot spring sinters can preserve biomolecules from the local microbial community, and that crystallinity rather than age may be the determining factor in their preservation. This research provides support for the exploration for biomolecules in opaline silica deposits on Mars. </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Tetteh, J.T., Veisi, M., Brady, P.V., Barati Ghahfarokhi, R., </w:t>
      </w:r>
      <w:r w:rsidR="00616347">
        <w:t xml:space="preserve">2020. </w:t>
      </w:r>
      <w:r w:rsidRPr="003532DF">
        <w:t>Surface reactivity analysis of the crude oil–brine–limestone interface for a comprehensive understanding of the low-salinity waterflooding mechanism. Energy &amp; Fuels 34, 2739-2756.</w:t>
      </w:r>
    </w:p>
    <w:p w:rsidR="00DB42FE" w:rsidRPr="003532DF" w:rsidRDefault="00DB42FE" w:rsidP="00616347">
      <w:pPr>
        <w:pStyle w:val="EndNoteBibliography"/>
        <w:ind w:left="360"/>
      </w:pPr>
      <w:r w:rsidRPr="003532DF">
        <w:t>https://doi.org/10.1021/acs.energyfuels.9b03664</w:t>
      </w:r>
    </w:p>
    <w:p w:rsidR="00DB42FE" w:rsidRPr="003532DF" w:rsidRDefault="00DB42FE" w:rsidP="00616347">
      <w:pPr>
        <w:pStyle w:val="EndNoteBibliography"/>
        <w:spacing w:after="0"/>
        <w:ind w:left="360"/>
      </w:pPr>
      <w:r w:rsidRPr="003532DF">
        <w:t>Low-salinity waterflooding (LSWF) has proven to improve oil recovery in carbonate formations through rock wettability alteration, although the underlying mechanism remains elusive. Multivalent ionic exchange and calcite dissolution have usually been investigated using geochemical analysis in secondary coreflooding. In this work, coreflooding, in tertiary mode, coupled with a surface reactivity analysis approach was employed to investigate the interplay of wettability alteration mechanisms such as mineral dissolution, electrostatic bond attraction, and the effect of pH at in situ conditions. Improved oil recovery (IOR) in tertiary mode observed by coreflooding in Indiana limestone rocks showed an ionic strength dependence, that is, reducing brine ionic strength resulted in an increase in oil recovery. Coreflooding results showed that the seawater and low-salinity brines deprived of Mg</w:t>
      </w:r>
      <w:r w:rsidRPr="003532DF">
        <w:rPr>
          <w:vertAlign w:val="superscript"/>
        </w:rPr>
        <w:t>2+</w:t>
      </w:r>
      <w:r w:rsidRPr="003532DF">
        <w:t xml:space="preserve"> ions resulted in the lowest IOR in tertiary mode, indicating the significance of Mg</w:t>
      </w:r>
      <w:r w:rsidRPr="003532DF">
        <w:rPr>
          <w:vertAlign w:val="superscript"/>
        </w:rPr>
        <w:t>2+</w:t>
      </w:r>
      <w:r w:rsidRPr="003532DF">
        <w:t xml:space="preserve"> </w:t>
      </w:r>
      <w:r w:rsidRPr="003532DF">
        <w:lastRenderedPageBreak/>
        <w:t>on IOR in limestone rocks. Similar results were observed through the contact angle measurement showing the limestone rock wettability state dependence on ionic strength and the effect of Mg</w:t>
      </w:r>
      <w:r w:rsidRPr="003532DF">
        <w:rPr>
          <w:vertAlign w:val="superscript"/>
        </w:rPr>
        <w:t>2+</w:t>
      </w:r>
      <w:r w:rsidRPr="003532DF">
        <w:t xml:space="preserve"> ions. Surface reactivity analysis showed an increase in solution pH, Ca</w:t>
      </w:r>
      <w:r w:rsidRPr="003532DF">
        <w:rPr>
          <w:vertAlign w:val="superscript"/>
        </w:rPr>
        <w:t>2+</w:t>
      </w:r>
      <w:r w:rsidRPr="003532DF">
        <w:t xml:space="preserve"> and Mg</w:t>
      </w:r>
      <w:r w:rsidRPr="003532DF">
        <w:rPr>
          <w:vertAlign w:val="superscript"/>
        </w:rPr>
        <w:t>2+</w:t>
      </w:r>
      <w:r w:rsidRPr="003532DF">
        <w:t xml:space="preserve"> ions concentration in the effluent solution from the coreflooding in tertiary mode using low salinity brines (about 40 and 20% increase in the effluent composition for Ca</w:t>
      </w:r>
      <w:r w:rsidRPr="003532DF">
        <w:rPr>
          <w:vertAlign w:val="superscript"/>
        </w:rPr>
        <w:t>2+</w:t>
      </w:r>
      <w:r w:rsidRPr="003532DF">
        <w:t xml:space="preserve"> and Mg</w:t>
      </w:r>
      <w:r w:rsidRPr="003532DF">
        <w:rPr>
          <w:vertAlign w:val="superscript"/>
        </w:rPr>
        <w:t>2+</w:t>
      </w:r>
      <w:r w:rsidRPr="003532DF">
        <w:t>, respectively). These changes in solution composition were used to calculate the in situ oil–brine and rock–brine zeta potential using a validated surface complexation model, showing the changes of zeta potential as brine is injected into limestone rocks. The results show that using seawater-like brine in tertiary mode resulted in no mineral dissolution or ionic exchange. However, improved oil recovery (IOR) using such seawater-like brine was due to wettability alteration caused by reduced electrostatic bond attraction associated with Mg</w:t>
      </w:r>
      <w:r w:rsidRPr="003532DF">
        <w:rPr>
          <w:vertAlign w:val="superscript"/>
        </w:rPr>
        <w:t>2+</w:t>
      </w:r>
      <w:r w:rsidRPr="003532DF">
        <w:t xml:space="preserve"> ions [from 2.6 × 10</w:t>
      </w:r>
      <w:r w:rsidRPr="003532DF">
        <w:rPr>
          <w:vertAlign w:val="superscript"/>
        </w:rPr>
        <w:t>–13</w:t>
      </w:r>
      <w:r w:rsidRPr="003532DF">
        <w:t xml:space="preserve"> (mol/m</w:t>
      </w:r>
      <w:r w:rsidRPr="003532DF">
        <w:rPr>
          <w:vertAlign w:val="superscript"/>
        </w:rPr>
        <w:t>2</w:t>
      </w:r>
      <w:r w:rsidRPr="003532DF">
        <w:t>)</w:t>
      </w:r>
      <w:r w:rsidRPr="003532DF">
        <w:rPr>
          <w:vertAlign w:val="superscript"/>
        </w:rPr>
        <w:t>2</w:t>
      </w:r>
      <w:r w:rsidRPr="003532DF">
        <w:t xml:space="preserve"> for formation water salinity to 1.5 × 10</w:t>
      </w:r>
      <w:r w:rsidRPr="003532DF">
        <w:rPr>
          <w:vertAlign w:val="superscript"/>
        </w:rPr>
        <w:t>–13</w:t>
      </w:r>
      <w:r w:rsidRPr="003532DF">
        <w:t xml:space="preserve"> (mol/m</w:t>
      </w:r>
      <w:r w:rsidRPr="003532DF">
        <w:rPr>
          <w:vertAlign w:val="superscript"/>
        </w:rPr>
        <w:t>2</w:t>
      </w:r>
      <w:r w:rsidRPr="003532DF">
        <w:t>)</w:t>
      </w:r>
      <w:r w:rsidRPr="003532DF">
        <w:rPr>
          <w:vertAlign w:val="superscript"/>
        </w:rPr>
        <w:t>2</w:t>
      </w:r>
      <w:r w:rsidRPr="003532DF">
        <w:t xml:space="preserve"> for seawater salinity]. Using low-salinity brines in tertiary mode improved oil recovery by mineral dissolution, resulting in oil desorption and an increase in solution pH. The increase in solution pH also resulted in reduced electrostatic bond attraction which lead to rock wettability alteration using low-salinity brines.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Thiagarajan, N., Kitchen, N., Xie, H., Ponton, C., Lawson, M., Formolo, M., Eiler, J., </w:t>
      </w:r>
      <w:r w:rsidR="00616347">
        <w:t xml:space="preserve">2020. </w:t>
      </w:r>
      <w:r w:rsidRPr="003532DF">
        <w:t>Identifying thermogenic and microbial methane in deep water Gulf of Mexico reservoirs. Geochimica et Cosmochimica Acta 275, 188-208.</w:t>
      </w:r>
    </w:p>
    <w:p w:rsidR="00DB42FE" w:rsidRPr="003532DF" w:rsidRDefault="00DB42FE" w:rsidP="00616347">
      <w:pPr>
        <w:pStyle w:val="EndNoteBibliography"/>
        <w:ind w:left="360"/>
      </w:pPr>
      <w:r w:rsidRPr="003532DF">
        <w:t>http://www.sciencedirect.com/science/article/pii/S0016703720301265</w:t>
      </w:r>
    </w:p>
    <w:p w:rsidR="00DB42FE" w:rsidRPr="003532DF" w:rsidRDefault="00DB42FE" w:rsidP="00616347">
      <w:pPr>
        <w:pStyle w:val="EndNoteBibliography"/>
        <w:spacing w:after="0"/>
        <w:ind w:left="360"/>
      </w:pPr>
      <w:r w:rsidRPr="003532DF">
        <w:t xml:space="preserve">The Gulf of Mexico (GOM) produces 5% of total U.S. dry gas production (USEIA, 2016). Despite this, the proportion of microbial and thermogenic methane in discovered and producing fields from this area is still not well understood. Understanding the relative contributions of these sources in subsurface environments is important to understanding how and where economically substantial amounts of methane form. In addition, this information will help identify sources of environmental emissions of hydrocarbons to the atmosphere. We apply stable isotopes including methane clumped-isotope measurements to solution and associated gases from several producing fields in the U.S. Gulf of Mexico to estimate the proportions, properties and origins of microbial and thermogenic endmembers. Clumped isotopes of methane are unique indicators of whether methane is at thermodynamic isotopic equilibrium or affected by kinetic processes. The clumped methane thermometer can provide insights into formation temperatures and/or into kinetic processes such as microbial methanogenesis, early catagenetic processes, mixing, combinatorial processes, and diffusion. In this data set, we find that some fluids have clumped isotope methane apparent temperatures consistent with the methane component being produced solely by the thermogenic breakdown of larger organic molecules at substantially greater temperatures than those reached in shallow reservoirs. A portion of these reservoirs with hot clumped isotope methane temperatures are consistent with exhibiting a kinetic isotope effect. Other reservoirs have clumped isotope methane apparent temperatures, and other isotopic and molecular proportions, consistent with mixtures of microbial and thermogenic methane. We show that in certain cases the evidence is most consistent with formation of the microbial methane in the current reservoir. However, in other cases the methane is produced at significantly shallower depths and is then transported to greater depths as a result of post generation burial of methane bearing sedimentary sequences to the current reservoir conditions. For the first time, we show that methane of an unambiguously purely microbial origin (i.e. those that do not contain obvious contributions of thermogenic methane) is dominantly generated at temperatures less than 60 °C, despite burial to greater depths. This finding suggests that, while microorganisms are able to generate methane at </w:t>
      </w:r>
      <w:r w:rsidRPr="003532DF">
        <w:lastRenderedPageBreak/>
        <w:t>temperatures up to 105 °C under laboratory conditions (Brock, 1985), in the Gulf of Mexico, microbial methane is dominantly produced in the 20–60 °C window.</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Tian, J., Li, J., Zeng, X., Kong, H., Sha, W., Guo, Z., Zhang, J., Fu, Y., </w:t>
      </w:r>
      <w:r w:rsidR="00616347">
        <w:t xml:space="preserve">2020. </w:t>
      </w:r>
      <w:r w:rsidRPr="003532DF">
        <w:t>Discovery and accumulation model of oil cracking gas reservoirs in Dongping area, Qaidam Basin. Acta Petrolei Sinica 41, 154-162.</w:t>
      </w:r>
    </w:p>
    <w:p w:rsidR="00DB42FE" w:rsidRPr="003532DF" w:rsidRDefault="00DB42FE" w:rsidP="00616347">
      <w:pPr>
        <w:pStyle w:val="EndNoteBibliography"/>
        <w:ind w:left="360"/>
      </w:pPr>
      <w:r w:rsidRPr="003532DF">
        <w:t>http://www.syxb-cps.com.cn/EN/abstract/abstract5828.shtml</w:t>
      </w:r>
    </w:p>
    <w:p w:rsidR="00DB42FE" w:rsidRPr="003532DF" w:rsidRDefault="00DB42FE" w:rsidP="00616347">
      <w:pPr>
        <w:pStyle w:val="EndNoteBibliography"/>
        <w:spacing w:after="0"/>
        <w:ind w:left="360"/>
      </w:pPr>
      <w:r w:rsidRPr="003532DF">
        <w:t>The Dongping bedrock gas field, with the largest onshore geological reserves in China, was discovered in Dongping area of Qaidam Basin. Natural gas in the Dongping gas field is sourced from Jurassic cracking gas in the high or over mature stage. However, the genesis of deep cracking gas reservoirs is complicated, especially in Pingxi and Jiandingshan tectonic belts west of the Dongping gas field, where the Jurassic is not developed and the source of newly discovered bedrock gas reservoirs is unknown, thus affecting the exploration of deep gas. Based on the natural gas compositions, isotope data and geological characteristics, the deep cracking gas is analyzed and the accumulation model of natural gas is established in Dongping area. Studies show that the deep bedrock gas reservoirs in Dongping area have the characteristics of crude oil cracking gas, and the development of bitumen inclusions in the bedrock reservoir indicates that cracking gas from ancient oil reservoir is developed in this area. The Jurassic source rocks in the northern margin of Qaidam Basin are mainly lacustrine mudstones with good organic matter and high abundance. The source rocks have undergone a long-term deep burial process, so that they have the material bases and temperature conditions for the formation of crude oil cracking gas. The formation of deep bedrock gas reservoirs in Dongping area is characterized by oil filling in the early period, cracking at high temperature and adjustment in the later period. The discovery of oil cracking gas in Dongping area expands the exploration field of natural gas in the northern margin of Qaidam Basin, and has important guiding significance for deepening the exploration of deep natural gas in Qaidam Basin.</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Tian, Y., Hou, Y., Yu, Q., Wang, X., Tian, M., </w:t>
      </w:r>
      <w:r w:rsidR="00616347">
        <w:t xml:space="preserve">2020. </w:t>
      </w:r>
      <w:r w:rsidRPr="003532DF">
        <w:t>Layer-by-layer self-assembly of a novel covalent organic frameworks microextraction coating for analyzing polycyclic aromatic hydrocarbons from aqueous solutions via gas chromatography. Journal of Separation Science 43, 896-904.</w:t>
      </w:r>
    </w:p>
    <w:p w:rsidR="00DB42FE" w:rsidRPr="003532DF" w:rsidRDefault="00DB42FE" w:rsidP="00616347">
      <w:pPr>
        <w:pStyle w:val="EndNoteBibliography"/>
        <w:ind w:left="360"/>
      </w:pPr>
      <w:r w:rsidRPr="003532DF">
        <w:t>https://doi.org/10.1002/jssc.201900870</w:t>
      </w:r>
    </w:p>
    <w:p w:rsidR="00DB42FE" w:rsidRPr="003532DF" w:rsidRDefault="00DB42FE" w:rsidP="00616347">
      <w:pPr>
        <w:pStyle w:val="EndNoteBibliography"/>
        <w:spacing w:after="0"/>
        <w:ind w:left="360"/>
      </w:pPr>
      <w:r w:rsidRPr="003532DF">
        <w:t xml:space="preserve">In this study, a new covalent organic framework, consisting of tetra(4‐aminophenyl)porphyrin and tris(4‐formyl phenyl)amine, was layer‐by‐layer immobilized on stainless‐steel wire as a coating for microextraction. The fabrication process was easy and controllable under mild conditions. The as‐grown fiber was applied to extract polycyclic aromatic hydrocarbons in aqueous solution </w:t>
      </w:r>
      <w:r w:rsidRPr="003532DF">
        <w:rPr>
          <w:i/>
        </w:rPr>
        <w:t>via</w:t>
      </w:r>
      <w:r w:rsidRPr="003532DF">
        <w:t xml:space="preserve"> head‐space solid‐phase microextraction. Furthermore, it was analyzed by gas chromatography with a flame ionization detector. A wide linear range (0.1–50 µg/L), low limits of detection (0.006–0.024 µg/L, signal‐to‐noise ratio = 3), good repeatability (intra‐fiber, </w:t>
      </w:r>
      <w:r w:rsidRPr="003532DF">
        <w:rPr>
          <w:i/>
        </w:rPr>
        <w:t>n</w:t>
      </w:r>
      <w:r w:rsidRPr="003532DF">
        <w:t xml:space="preserve"> = 6, 3.1–8.50%), and reproducibility (fiber to fiber; </w:t>
      </w:r>
      <w:r w:rsidRPr="003532DF">
        <w:rPr>
          <w:i/>
        </w:rPr>
        <w:t>n</w:t>
      </w:r>
      <w:r w:rsidRPr="003532DF">
        <w:t xml:space="preserve"> = 3, 5.79–9.98%), expressed as relative standard deviations, demonstrate the applicability of the newly developed coating. This new material was successfully utilized in real sample extraction with a satisfactory result. Potential parameters affecting the extraction efficiency, including extraction temperature and extraction time, salt concentration, agitation speed, sample volume, desorption temperature, and time, were also optimized and discussed..</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lastRenderedPageBreak/>
        <w:t xml:space="preserve">Tokano, T., </w:t>
      </w:r>
      <w:r w:rsidR="00616347">
        <w:t xml:space="preserve">2020. </w:t>
      </w:r>
      <w:r w:rsidRPr="003532DF">
        <w:t>Stable existence of tropical endorheic lakes on Titan. Geophysical Research Letters 47, e2019GL086166.</w:t>
      </w:r>
    </w:p>
    <w:p w:rsidR="00DB42FE" w:rsidRPr="003532DF" w:rsidRDefault="00DB42FE" w:rsidP="00616347">
      <w:pPr>
        <w:pStyle w:val="EndNoteBibliography"/>
        <w:ind w:left="360"/>
      </w:pPr>
      <w:r w:rsidRPr="003532DF">
        <w:t>https://doi.org/10.1029/2019GL086166</w:t>
      </w:r>
    </w:p>
    <w:p w:rsidR="00DB42FE" w:rsidRPr="003532DF" w:rsidRDefault="00DB42FE" w:rsidP="00616347">
      <w:pPr>
        <w:pStyle w:val="EndNoteBibliography"/>
        <w:ind w:left="360"/>
      </w:pPr>
      <w:r w:rsidRPr="003532DF">
        <w:t>Abstract: Cassini detected numerous hydrocarbon seas/lakes in the polar region of Titan and wide areas of sand seas in the tropical region, which initially led to the perception that Titan's tropical region may be too dry for lakes. Yet, a few tropical lakes were possibly seen on Cassini's near‐infrared images, while they were not seen by other imaging instruments. This study shows by a lake balance model in combination with a global climate model and global topography map that a few lakes can perennially exist in Titan's tropical drainage basins of Shangri‐La, Tui Regio, and Hotei Regio. This is possible because the lakes are fed by precipitation in a huge catchment area, while efficient lake evaporation occurs only in a small area inside of deep topographic depressions. However, tropical lakes may occasionally desiccate due to orbitally forced changes in tropical precipitation.</w:t>
      </w:r>
    </w:p>
    <w:p w:rsidR="00DB42FE" w:rsidRPr="003532DF" w:rsidRDefault="00DB42FE" w:rsidP="00616347">
      <w:pPr>
        <w:pStyle w:val="EndNoteBibliography"/>
        <w:spacing w:after="0"/>
        <w:ind w:left="360"/>
      </w:pPr>
      <w:r w:rsidRPr="003532DF">
        <w:t>Plain Language Summary: Saturn's largest moon Titan has many hydrocarbon lakes in the moist polar region and dunes in the dry equatorial region. However, one of the imaging instruments of Cassini possibly saw tropical lakes, while other imaging instruments did not. If true, the presence of tropical lakes on Titan is surprising at a glance, as one expects such lakes to disappear soon due to fast evaporation. However, there are enclosed tropical basins on Titan in which methane rainfall can be collected at their bottom. If one keeps track of the precipitation from the whole basin and evaporation from the lake surface, one finds that lakes can stably exist despite the low precipitation rate and high evaporation rate. This is because lake evaporation occurs in a small area compared to total size of the drainage basin. By contrast, standing bodies of liquids sitting on a wide plain have no chance to survive because evaporation occurs everywhere.</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Tong, R.-L., Zhang, H.-Y., Lin, X.-C., Wang, Y.-G., Meng, X.-K., </w:t>
      </w:r>
      <w:r w:rsidR="00616347">
        <w:t xml:space="preserve">2020. </w:t>
      </w:r>
      <w:r w:rsidRPr="003532DF">
        <w:t>Analysis of distillate product in the direct coal liquefaction of a Chinese bituminous coal. International Journal of Oil, Gas and Coal Technology 23, 375-394.</w:t>
      </w:r>
    </w:p>
    <w:p w:rsidR="00DB42FE" w:rsidRPr="003532DF" w:rsidRDefault="00DB42FE" w:rsidP="00616347">
      <w:pPr>
        <w:pStyle w:val="EndNoteBibliography"/>
        <w:ind w:left="360"/>
      </w:pPr>
      <w:r w:rsidRPr="003532DF">
        <w:t>https://doi.org/10.1504/IJOGCT.2020.105772</w:t>
      </w:r>
    </w:p>
    <w:p w:rsidR="00DB42FE" w:rsidRPr="003532DF" w:rsidRDefault="00DB42FE" w:rsidP="00616347">
      <w:pPr>
        <w:pStyle w:val="EndNoteBibliography"/>
        <w:spacing w:after="0"/>
        <w:ind w:left="360"/>
      </w:pPr>
      <w:r w:rsidRPr="003532DF">
        <w:t xml:space="preserve">To understand the reaction mechanism of coal liquefaction process and further improve the direct coal liquefaction (DCL) technology, a certain kind of DCL oil, which was prepared from a Chinese bituminous Yulin coal, was first separated into different fractions using improved silica-gel column chromatography (SGCC) coupled with the UV-absorbance detector, and then identified by gas chromatography-mass spectrometer (GC-MS), the comprehensive two-dimensional gas chromatography coupled with time-of-flight mass spectrometer (GC × GC-TOFMS), </w:t>
      </w:r>
      <w:r w:rsidRPr="003532DF">
        <w:rPr>
          <w:vertAlign w:val="superscript"/>
        </w:rPr>
        <w:t>1</w:t>
      </w:r>
      <w:r w:rsidRPr="003532DF">
        <w:t>H NMR and FTIR. Around 95% of DCL oil was successfully separated into seven fractions by four mobile phases and analysed. It was found that DCL oil consists of 9.06% of alkanes, 36.32% of hydroaromatics, 17.85% of aromatics, 15.39% of oxygen-containing compounds, 16.21% of nitrogen-containing compounds and 2.33% of polyheteroatomic compounds, respectively.</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Topper, T.P., Guo, J., Clausen, S., Skovsted, C.B., Zhang, Z., </w:t>
      </w:r>
      <w:r w:rsidR="00616347">
        <w:t xml:space="preserve">2020. </w:t>
      </w:r>
      <w:r w:rsidRPr="003532DF">
        <w:t xml:space="preserve">Reply to ‘Re-evaluating the phylogenetic position of the enigmatic early Cambrian deuterostome </w:t>
      </w:r>
      <w:r w:rsidRPr="003532DF">
        <w:rPr>
          <w:i/>
        </w:rPr>
        <w:t>Yanjiahella’</w:t>
      </w:r>
      <w:r w:rsidRPr="003532DF">
        <w:t>. Nature Communications 11, 1287.</w:t>
      </w:r>
    </w:p>
    <w:p w:rsidR="00DB42FE" w:rsidRPr="003532DF" w:rsidRDefault="00DB42FE" w:rsidP="00616347">
      <w:pPr>
        <w:pStyle w:val="EndNoteBibliography"/>
        <w:ind w:left="360"/>
      </w:pPr>
      <w:r w:rsidRPr="003532DF">
        <w:lastRenderedPageBreak/>
        <w:t>https://doi.org/10.1038/s41467-020-14922-9</w:t>
      </w:r>
    </w:p>
    <w:p w:rsidR="00DB42FE" w:rsidRPr="003532DF" w:rsidRDefault="00DB42FE" w:rsidP="00616347">
      <w:pPr>
        <w:pStyle w:val="EndNoteBibliography"/>
        <w:ind w:left="360"/>
      </w:pPr>
      <w:r w:rsidRPr="003532DF">
        <w:t xml:space="preserve">Recently we documented a bilaterally symmetrical, solitary organism, </w:t>
      </w:r>
      <w:r w:rsidRPr="003532DF">
        <w:rPr>
          <w:i/>
        </w:rPr>
        <w:t>Yanjiahella biscarpa</w:t>
      </w:r>
      <w:r w:rsidRPr="003532DF">
        <w:t xml:space="preserve"> from the early Cambrian (Fortunian) of China</w:t>
      </w:r>
      <w:r w:rsidRPr="003532DF">
        <w:rPr>
          <w:u w:val="single"/>
          <w:vertAlign w:val="superscript"/>
        </w:rPr>
        <w:t>1</w:t>
      </w:r>
      <w:r w:rsidRPr="003532DF">
        <w:t xml:space="preserve">. We interpreted that </w:t>
      </w:r>
      <w:r w:rsidRPr="003532DF">
        <w:rPr>
          <w:i/>
        </w:rPr>
        <w:t>Y. biscarpa</w:t>
      </w:r>
      <w:r w:rsidRPr="003532DF">
        <w:t xml:space="preserve"> possessed an echinoderm-like plated theca, a muscular stalk similar to hemichordates and a pair of long, feeding appendages. Our interpretation and our phylogenetic analysis suggest that </w:t>
      </w:r>
      <w:r w:rsidRPr="003532DF">
        <w:rPr>
          <w:i/>
        </w:rPr>
        <w:t>Y</w:t>
      </w:r>
      <w:r w:rsidRPr="003532DF">
        <w:t xml:space="preserve">. </w:t>
      </w:r>
      <w:r w:rsidRPr="003532DF">
        <w:rPr>
          <w:i/>
        </w:rPr>
        <w:t>biscarpa</w:t>
      </w:r>
      <w:r w:rsidRPr="003532DF">
        <w:t xml:space="preserve"> is a stem-echinoderm, which would confirm that echinoderms acquired plates before pentaradial symmetry and that their history is firmly rooted in bilateral forms. Zamora et al.</w:t>
      </w:r>
      <w:r w:rsidRPr="003532DF">
        <w:rPr>
          <w:u w:val="single"/>
          <w:vertAlign w:val="superscript"/>
        </w:rPr>
        <w:t>2</w:t>
      </w:r>
      <w:r w:rsidRPr="003532DF">
        <w:t xml:space="preserve"> however, have criticized our interpretation, arguing against an echinoderm affinity, instead suggesting that the phylogenetic placement of </w:t>
      </w:r>
      <w:r w:rsidRPr="003532DF">
        <w:rPr>
          <w:i/>
        </w:rPr>
        <w:t>Y</w:t>
      </w:r>
      <w:r w:rsidRPr="003532DF">
        <w:t xml:space="preserve">. </w:t>
      </w:r>
      <w:r w:rsidRPr="003532DF">
        <w:rPr>
          <w:i/>
        </w:rPr>
        <w:t>biscarpa</w:t>
      </w:r>
      <w:r w:rsidRPr="003532DF">
        <w:t xml:space="preserve"> is dubious and its significance for understanding deuterostome evolution is uncertain.</w:t>
      </w:r>
    </w:p>
    <w:p w:rsidR="00DB42FE" w:rsidRPr="003532DF" w:rsidRDefault="00DB42FE" w:rsidP="00616347">
      <w:pPr>
        <w:pStyle w:val="EndNoteBibliography"/>
        <w:ind w:left="360"/>
      </w:pPr>
      <w:r w:rsidRPr="003532DF">
        <w:t>This criticism</w:t>
      </w:r>
      <w:r w:rsidRPr="003532DF">
        <w:rPr>
          <w:u w:val="single"/>
          <w:vertAlign w:val="superscript"/>
        </w:rPr>
        <w:t>2</w:t>
      </w:r>
      <w:r w:rsidRPr="003532DF">
        <w:t xml:space="preserve"> seems to stem from our interpretation of particular morphological features in </w:t>
      </w:r>
      <w:r w:rsidRPr="003532DF">
        <w:rPr>
          <w:i/>
        </w:rPr>
        <w:t>Y</w:t>
      </w:r>
      <w:r w:rsidRPr="003532DF">
        <w:t xml:space="preserve">. </w:t>
      </w:r>
      <w:r w:rsidRPr="003532DF">
        <w:rPr>
          <w:i/>
        </w:rPr>
        <w:t>biscarpa</w:t>
      </w:r>
      <w:r w:rsidRPr="003532DF">
        <w:rPr>
          <w:u w:val="single"/>
          <w:vertAlign w:val="superscript"/>
        </w:rPr>
        <w:t>1</w:t>
      </w:r>
      <w:r w:rsidRPr="003532DF">
        <w:t xml:space="preserve"> and the perceived lack of echinoderm synapomorphies. Echinoderms possess a calcitic skeleton with a distinctive three-dimensional mesh-like microstructure called stereom, that is considered a major synapomorphy of the Echinodermata</w:t>
      </w:r>
      <w:r w:rsidRPr="003532DF">
        <w:rPr>
          <w:u w:val="single"/>
          <w:vertAlign w:val="superscript"/>
        </w:rPr>
        <w:t>3</w:t>
      </w:r>
      <w:r w:rsidRPr="003532DF">
        <w:t>. Zamora et al.</w:t>
      </w:r>
      <w:r w:rsidRPr="003532DF">
        <w:rPr>
          <w:u w:val="single"/>
          <w:vertAlign w:val="superscript"/>
        </w:rPr>
        <w:t>2</w:t>
      </w:r>
      <w:r w:rsidRPr="003532DF">
        <w:t xml:space="preserve"> highlighted the absence of stereom in </w:t>
      </w:r>
      <w:r w:rsidRPr="003532DF">
        <w:rPr>
          <w:i/>
        </w:rPr>
        <w:t>Y</w:t>
      </w:r>
      <w:r w:rsidRPr="003532DF">
        <w:t xml:space="preserve">. </w:t>
      </w:r>
      <w:r w:rsidRPr="003532DF">
        <w:rPr>
          <w:i/>
        </w:rPr>
        <w:t>biscarpa</w:t>
      </w:r>
      <w:r w:rsidRPr="003532DF">
        <w:t xml:space="preserve">, additionally stating that we had omitted appropriate methods, specifically latex casting, that may confirm the presence of stereom in our specimens. We concede that initially we did not latex cast any specimens of </w:t>
      </w:r>
      <w:r w:rsidRPr="003532DF">
        <w:rPr>
          <w:i/>
        </w:rPr>
        <w:t>Y</w:t>
      </w:r>
      <w:r w:rsidRPr="003532DF">
        <w:t xml:space="preserve">. </w:t>
      </w:r>
      <w:r w:rsidRPr="003532DF">
        <w:rPr>
          <w:i/>
        </w:rPr>
        <w:t>biscarpa</w:t>
      </w:r>
      <w:r w:rsidRPr="003532DF">
        <w:t xml:space="preserve">, predominantly due to the fragile nature and the associated risk of damaging the specimens in question. In lieu of latex casting we employed Scanning Electron Microscopy (SEM) to investigate the surface and the details of </w:t>
      </w:r>
      <w:r w:rsidRPr="003532DF">
        <w:rPr>
          <w:i/>
        </w:rPr>
        <w:t>Y</w:t>
      </w:r>
      <w:r w:rsidRPr="003532DF">
        <w:t xml:space="preserve">. </w:t>
      </w:r>
      <w:r w:rsidRPr="003532DF">
        <w:rPr>
          <w:i/>
        </w:rPr>
        <w:t>biscarpa</w:t>
      </w:r>
      <w:r w:rsidRPr="003532DF">
        <w:t xml:space="preserve"> specimens. SEM has been extensively used in the past to study stereom microstructure</w:t>
      </w:r>
      <w:r w:rsidRPr="003532DF">
        <w:rPr>
          <w:u w:val="single"/>
          <w:vertAlign w:val="superscript"/>
        </w:rPr>
        <w:t>4</w:t>
      </w:r>
      <w:r w:rsidRPr="003532DF">
        <w:rPr>
          <w:vertAlign w:val="superscript"/>
        </w:rPr>
        <w:t>,</w:t>
      </w:r>
      <w:r w:rsidRPr="003532DF">
        <w:rPr>
          <w:u w:val="single"/>
          <w:vertAlign w:val="superscript"/>
        </w:rPr>
        <w:t>5</w:t>
      </w:r>
      <w:r w:rsidRPr="003532DF">
        <w:rPr>
          <w:vertAlign w:val="superscript"/>
        </w:rPr>
        <w:t>,</w:t>
      </w:r>
      <w:r w:rsidRPr="003532DF">
        <w:rPr>
          <w:u w:val="single"/>
          <w:vertAlign w:val="superscript"/>
        </w:rPr>
        <w:t>6</w:t>
      </w:r>
      <w:r w:rsidRPr="003532DF">
        <w:t xml:space="preserve"> and if such a microstructure was preserved in </w:t>
      </w:r>
      <w:r w:rsidRPr="003532DF">
        <w:rPr>
          <w:i/>
        </w:rPr>
        <w:t>Y</w:t>
      </w:r>
      <w:r w:rsidRPr="003532DF">
        <w:t xml:space="preserve">. </w:t>
      </w:r>
      <w:r w:rsidRPr="003532DF">
        <w:rPr>
          <w:i/>
        </w:rPr>
        <w:t>biscarpa</w:t>
      </w:r>
      <w:r w:rsidRPr="003532DF">
        <w:t xml:space="preserve"> it would have been detected using this technique.</w:t>
      </w:r>
    </w:p>
    <w:p w:rsidR="00DB42FE" w:rsidRPr="003532DF" w:rsidRDefault="00DB42FE" w:rsidP="00616347">
      <w:pPr>
        <w:pStyle w:val="EndNoteBibliography"/>
        <w:ind w:left="360"/>
      </w:pPr>
      <w:r w:rsidRPr="003532DF">
        <w:t>In response to Zamora et al.</w:t>
      </w:r>
      <w:r w:rsidRPr="003532DF">
        <w:rPr>
          <w:u w:val="single"/>
          <w:vertAlign w:val="superscript"/>
        </w:rPr>
        <w:t>2</w:t>
      </w:r>
      <w:r w:rsidRPr="003532DF">
        <w:t xml:space="preserve"> we have cast a specimen in latex to investigate whether stereom can be detected in </w:t>
      </w:r>
      <w:r w:rsidRPr="003532DF">
        <w:rPr>
          <w:i/>
        </w:rPr>
        <w:t>Y</w:t>
      </w:r>
      <w:r w:rsidRPr="003532DF">
        <w:t xml:space="preserve">. </w:t>
      </w:r>
      <w:r w:rsidRPr="003532DF">
        <w:rPr>
          <w:i/>
        </w:rPr>
        <w:t>biscarpa</w:t>
      </w:r>
      <w:r w:rsidRPr="003532DF">
        <w:t xml:space="preserve">. No pitting, resembling stereom is evident on the plates (Fig. </w:t>
      </w:r>
      <w:r w:rsidRPr="003532DF">
        <w:rPr>
          <w:u w:val="single"/>
        </w:rPr>
        <w:t>1</w:t>
      </w:r>
      <w:r w:rsidRPr="003532DF">
        <w:t>) and the latex casts do not appear to offer any further information that was not detectable using light photography and SEM, as predicted. The statement from Zamora et al.</w:t>
      </w:r>
      <w:r w:rsidRPr="003532DF">
        <w:rPr>
          <w:u w:val="single"/>
          <w:vertAlign w:val="superscript"/>
        </w:rPr>
        <w:t>2</w:t>
      </w:r>
      <w:r w:rsidRPr="003532DF">
        <w:t xml:space="preserve"> that latex casting could have resolved many of the uncertainties surrounding the composition, shape and arrangement of the plates and the morphology of the stalk is an overstatement and ambitiously delivered without direct examination of the fossil specimens. ....</w:t>
      </w:r>
    </w:p>
    <w:p w:rsidR="00DB42FE" w:rsidRPr="003532DF" w:rsidRDefault="00DB42FE" w:rsidP="00616347">
      <w:pPr>
        <w:pStyle w:val="EndNoteBibliography"/>
        <w:ind w:left="360"/>
      </w:pPr>
      <w:r w:rsidRPr="003532DF">
        <w:t>In conclusion, we thank Zamora et al.</w:t>
      </w:r>
      <w:r w:rsidRPr="003532DF">
        <w:rPr>
          <w:u w:val="single"/>
          <w:vertAlign w:val="superscript"/>
        </w:rPr>
        <w:t>2</w:t>
      </w:r>
      <w:r w:rsidRPr="003532DF">
        <w:t xml:space="preserve"> for their assessment and exploration of the phylogenetic position of </w:t>
      </w:r>
      <w:r w:rsidRPr="003532DF">
        <w:rPr>
          <w:i/>
        </w:rPr>
        <w:t>Y</w:t>
      </w:r>
      <w:r w:rsidRPr="003532DF">
        <w:t xml:space="preserve">. </w:t>
      </w:r>
      <w:r w:rsidRPr="003532DF">
        <w:rPr>
          <w:i/>
        </w:rPr>
        <w:t>biscarpa</w:t>
      </w:r>
      <w:r w:rsidRPr="003532DF">
        <w:t xml:space="preserve"> and for providing us with the opportunity to further examine and strengthen our original arguments. We believe that their letter and our response will advance the important topic of understanding the early evolution of the Echinodermata. We hope that this undertaking will be the scope of future work in our group and others in the scientific community.</w:t>
      </w:r>
    </w:p>
    <w:p w:rsidR="00DB42FE" w:rsidRPr="003532DF" w:rsidRDefault="00DB42FE" w:rsidP="00616347">
      <w:pPr>
        <w:pStyle w:val="EndNoteBibliography"/>
        <w:ind w:left="360"/>
      </w:pPr>
      <w:r w:rsidRPr="003532DF">
        <w:t>Reply to commentby: Zamora, S. et al. Re-evaluating the phylogenetic position of the enigmatic early Cambrian deuterostome Yanjiahella. Nat. Commun. (2020).</w:t>
      </w:r>
    </w:p>
    <w:p w:rsidR="00DB42FE" w:rsidRPr="003532DF" w:rsidRDefault="00DB42FE" w:rsidP="00616347">
      <w:pPr>
        <w:pStyle w:val="EndNoteBibliography"/>
        <w:spacing w:after="0"/>
        <w:ind w:left="360"/>
      </w:pPr>
      <w:r w:rsidRPr="003532DF">
        <w:t>Original article: Topper, T. P. et al. A stem group echinoderm from the basal Cambrian of China and the origins of Ambulacraria. Nat. Commun. 10, 1366 (2019).</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Torniainen, J., Afara, I.O., Prakash, M., Sarin, J.K., Stenroth, L., Töyräs, J., </w:t>
      </w:r>
      <w:r w:rsidR="00616347">
        <w:t xml:space="preserve">2020. </w:t>
      </w:r>
      <w:r w:rsidRPr="003532DF">
        <w:t>Open-source Python module for automated preprocessing of near infrared spectroscopic data. Analytica Chimica Acta 1108, 1-9.</w:t>
      </w:r>
    </w:p>
    <w:p w:rsidR="00DB42FE" w:rsidRPr="003532DF" w:rsidRDefault="00DB42FE" w:rsidP="00616347">
      <w:pPr>
        <w:pStyle w:val="EndNoteBibliography"/>
        <w:ind w:left="360"/>
      </w:pPr>
      <w:r w:rsidRPr="003532DF">
        <w:t>http://www.sciencedirect.com/science/article/pii/S000326702030204X</w:t>
      </w:r>
    </w:p>
    <w:p w:rsidR="00DB42FE" w:rsidRPr="003532DF" w:rsidRDefault="00DB42FE" w:rsidP="00616347">
      <w:pPr>
        <w:pStyle w:val="EndNoteBibliography"/>
        <w:spacing w:after="0"/>
        <w:ind w:left="360"/>
      </w:pPr>
      <w:r w:rsidRPr="003532DF">
        <w:lastRenderedPageBreak/>
        <w:t>Near infrared spectroscopy (NIRS) is an analytical technique for determining the chemical composition or structure of a given sample. For several decades, NIRS has been a frequently used analysis tool in agriculture, pharmacology, medicine, and petrochemistry. The popularity of NIRS is constantly growing as new application areas are discovered. Contrary to mid infrared spectral region, the absorption bands in near infrared spectral region are often non-specific, broad, and overlapping. Analysis of NIR spectra requires multivariate methods which are highly subjective to noise arising from instrumentation, scattering effects, and measurement setup. NIRS measurements are also frequently performed outside of a laboratory which further contributes to the presence of noise. Therefore, preprocessing is a critical step in NIRS as it can vastly improve the performance of multivariate models. While extensive research regarding various preprocessing methods exists, selection of the best preprocessing method is often determined through trial-and-error. A more powerful approach for optimizing preprocessing in NIRS models would be to automatically compare a large number of preprocessing techniques (e.g., through grid-search or hyperparameter tuning). To enable this, we present, nippy, an open-source Python module for semi-automatic comparison of NIRS preprocessing methods (available at https://github.com/uef-bbc/nippy). We provide here a brief overview of the capabilities of nippy and demonstrate the typical usage through two examples with public datasets.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Torres-Rojas, D., Hestrin, R., Solomon, D., Gillespie, A.W., Dynes, J.J., Regier, T.Z., Lehmann, J., </w:t>
      </w:r>
      <w:r w:rsidR="00616347">
        <w:t xml:space="preserve">2020. </w:t>
      </w:r>
      <w:r w:rsidRPr="003532DF">
        <w:t>Nitrogen speciation and transformations in fire-derived organic matter. Geochimica et Cosmochimica Acta 276, 170-185.</w:t>
      </w:r>
    </w:p>
    <w:p w:rsidR="00DB42FE" w:rsidRPr="003532DF" w:rsidRDefault="00DB42FE" w:rsidP="00616347">
      <w:pPr>
        <w:pStyle w:val="EndNoteBibliography"/>
        <w:ind w:left="360"/>
      </w:pPr>
      <w:r w:rsidRPr="003532DF">
        <w:t>http://www.sciencedirect.com/science/article/pii/S0016703720301575</w:t>
      </w:r>
    </w:p>
    <w:p w:rsidR="00DB42FE" w:rsidRPr="003532DF" w:rsidRDefault="00DB42FE" w:rsidP="00616347">
      <w:pPr>
        <w:pStyle w:val="EndNoteBibliography"/>
        <w:spacing w:after="0"/>
        <w:ind w:left="360"/>
      </w:pPr>
      <w:r w:rsidRPr="003532DF">
        <w:t>Vegetation fires are known to have broad geochemical effects on carbon (C) cycles in the Earth system, yet limited information is available for nitrogen (N). In this study, we evaluated how charring organic matter (OM) to pyrogenic OM (PyOM) altered the N molecular structure and affected subsequent C and N mineralization. Nitrogen near-edge X-ray absorption fine structure (NEXAFS) of uncharred OM, PyOM, PyOM toluene extract, and PyOM after toluene extraction were used to predict PyOM-C and -N mineralization potentials. PyOM was produced from three different plants (e.g. Maize-</w:t>
      </w:r>
      <w:r w:rsidRPr="003532DF">
        <w:rPr>
          <w:i/>
        </w:rPr>
        <w:t>Zea mays</w:t>
      </w:r>
      <w:r w:rsidRPr="003532DF">
        <w:t xml:space="preserve"> L.; Ryegrass-</w:t>
      </w:r>
      <w:r w:rsidRPr="003532DF">
        <w:rPr>
          <w:i/>
        </w:rPr>
        <w:t>Lollium perenne</w:t>
      </w:r>
      <w:r w:rsidRPr="003532DF">
        <w:t xml:space="preserve"> L.; and Willow-</w:t>
      </w:r>
      <w:r w:rsidRPr="003532DF">
        <w:rPr>
          <w:i/>
        </w:rPr>
        <w:t>Salix viminalix</w:t>
      </w:r>
      <w:r w:rsidRPr="003532DF">
        <w:t xml:space="preserve"> L.) each with varying initial N contents at three pyrolysis temperatures (350, 500 and 700 °C). Mineralization of C and N was measured from incubations of uncharred OM and PyOM in a sand matrix for 256 days at 30 °C. As pyrolysis temperature increased from 350 to 700 °C, aromatic C-N in 6-membered rings (putative) increased threefold. Aromatic C-N in 6-membered oxygenated ring increased sevenfold, and quaternary aromatic N doubled. Initial uncharred OM-N content was positively correlated with the proportion of heterocyclic aromatic N in PyOM (R</w:t>
      </w:r>
      <w:r w:rsidRPr="003532DF">
        <w:rPr>
          <w:vertAlign w:val="superscript"/>
        </w:rPr>
        <w:t>2</w:t>
      </w:r>
      <w:r w:rsidRPr="003532DF">
        <w:t> = 0.44</w:t>
      </w:r>
      <w:r w:rsidRPr="003532DF">
        <w:rPr>
          <w:i/>
        </w:rPr>
        <w:t>; P</w:t>
      </w:r>
      <w:r w:rsidRPr="003532DF">
        <w:t> &lt; 0.0001; n = 42). A 55% increase of aromatic N heterocycles at high OM-N content, when compared to low OM-N content, suggests that higher concentrations of N favor the incorporation of N atoms into aromatic structures by overcoming the energy barrier associated with the electronic and atomic configuration of the C structure. A ten-fold increase of aromatic C-N in 6-membered rings (putative) in PyOM (as proportion of all PyOM-N) decreased C mineralization by 87%, whereas total N contents and C:N ratios of PyOM had no effects on C mineralization of PyOM-C for both pyrolysis temperatures (for PyOM-350 °C, R</w:t>
      </w:r>
      <w:r w:rsidRPr="003532DF">
        <w:rPr>
          <w:vertAlign w:val="superscript"/>
        </w:rPr>
        <w:t>2</w:t>
      </w:r>
      <w:r w:rsidRPr="003532DF">
        <w:t xml:space="preserve"> = 0.15; </w:t>
      </w:r>
      <w:r w:rsidRPr="003532DF">
        <w:rPr>
          <w:i/>
        </w:rPr>
        <w:t>P</w:t>
      </w:r>
      <w:r w:rsidRPr="003532DF">
        <w:t> &lt; 0.27; for PyOM-700 °C, R</w:t>
      </w:r>
      <w:r w:rsidRPr="003532DF">
        <w:rPr>
          <w:vertAlign w:val="superscript"/>
        </w:rPr>
        <w:t>2</w:t>
      </w:r>
      <w:r w:rsidRPr="003532DF">
        <w:t xml:space="preserve"> = 0.22; </w:t>
      </w:r>
      <w:r w:rsidRPr="003532DF">
        <w:rPr>
          <w:i/>
        </w:rPr>
        <w:t>P</w:t>
      </w:r>
      <w:r w:rsidRPr="003532DF">
        <w:t> &lt; 0.21). Oxidized aromatic N in PyOM toluene extracts correlated with higher C mineralization, whereas aromatic N in 6-membered heterocycles correlated with reduced C mineralization (R</w:t>
      </w:r>
      <w:r w:rsidRPr="003532DF">
        <w:rPr>
          <w:vertAlign w:val="superscript"/>
        </w:rPr>
        <w:t>2</w:t>
      </w:r>
      <w:r w:rsidRPr="003532DF">
        <w:t xml:space="preserve"> = 0.56; </w:t>
      </w:r>
      <w:r w:rsidRPr="003532DF">
        <w:rPr>
          <w:i/>
        </w:rPr>
        <w:t>P =</w:t>
      </w:r>
      <w:r w:rsidRPr="003532DF">
        <w:t> 0.001; n = 100). Similarly, aromatic N in 6-membered heterocycles in PyOM remaining after toluene extraction reduced PyOM-C mineralization (R</w:t>
      </w:r>
      <w:r w:rsidRPr="003532DF">
        <w:rPr>
          <w:vertAlign w:val="superscript"/>
        </w:rPr>
        <w:t>2</w:t>
      </w:r>
      <w:r w:rsidRPr="003532DF">
        <w:t xml:space="preserve"> = 0.49; </w:t>
      </w:r>
      <w:r w:rsidRPr="003532DF">
        <w:rPr>
          <w:i/>
        </w:rPr>
        <w:t>P</w:t>
      </w:r>
      <w:r w:rsidRPr="003532DF">
        <w:t xml:space="preserve"> = 0.0006; n = 100). PyOM-C mineralization increased when N atoms </w:t>
      </w:r>
      <w:r w:rsidRPr="003532DF">
        <w:lastRenderedPageBreak/>
        <w:t>were located at the edge of the C network in the form of oxidized N functionalities or when more N was found in PyOM toluene extracts and was more accessible to microbial oxidation. These results confirm the hypothesis that C persistence of fire-derived OM is significantly affected by its molecular N structure and the presented quantitative structure-activity relationship can be utilized for predictive modeling purposes.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Tranchida, P.Q., Mondello, L., </w:t>
      </w:r>
      <w:r w:rsidR="00616347">
        <w:t xml:space="preserve">2020. </w:t>
      </w:r>
      <w:r w:rsidRPr="003532DF">
        <w:t>Chapter 6 - Detectors and basic data analysis, in: Snow, N.H. (Ed.), Separation Science and Technology. Academic Press, pp. 205-227.</w:t>
      </w:r>
    </w:p>
    <w:p w:rsidR="00DB42FE" w:rsidRPr="003532DF" w:rsidRDefault="00DB42FE" w:rsidP="00616347">
      <w:pPr>
        <w:pStyle w:val="EndNoteBibliography"/>
        <w:ind w:left="360"/>
      </w:pPr>
      <w:r w:rsidRPr="003532DF">
        <w:t>http://www.sciencedirect.com/science/article/pii/B9780128137451000064</w:t>
      </w:r>
    </w:p>
    <w:p w:rsidR="00DB42FE" w:rsidRPr="003532DF" w:rsidRDefault="00DB42FE" w:rsidP="00616347">
      <w:pPr>
        <w:pStyle w:val="EndNoteBibliography"/>
        <w:spacing w:after="0"/>
        <w:ind w:left="360"/>
      </w:pPr>
      <w:r w:rsidRPr="003532DF">
        <w:t>This chapter is focused on the combination of comprehensive two-dimensional gas chromatography (GC×GC) with “information-poor” (at different levels) forms of detection, such as flame ionization detection, electron capture detection, etc., and with “information-rich” ones, namely mass spectrometry (MS) in its various forms and vacuum ultraviolet detection. Apart from basic principles related to the different forms of detection, several examples highlighting the power and opportunities, in particular of the three-dimensional technology GC×GC-MS, will be illustrated and discussed. Basic details on data analysis are also given.</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Treude, T., Krause, S., Steinle, L., Burwicz, E., Hamdan, L.J., Niemann, H., Feseker, T., Liebetrau, V., Krastel, S., Berndt, C., </w:t>
      </w:r>
      <w:r w:rsidR="00616347">
        <w:t xml:space="preserve">2020. </w:t>
      </w:r>
      <w:r w:rsidRPr="003532DF">
        <w:t>Biogeochemical consequences of nonvertical methane transport in sediment offshore northwestern Svalbard. Journal of Geophysical Research: Biogeosciences 125, e2019JG005371.</w:t>
      </w:r>
    </w:p>
    <w:p w:rsidR="00DB42FE" w:rsidRPr="003532DF" w:rsidRDefault="00DB42FE" w:rsidP="00616347">
      <w:pPr>
        <w:pStyle w:val="EndNoteBibliography"/>
        <w:ind w:left="360"/>
      </w:pPr>
      <w:r w:rsidRPr="003532DF">
        <w:t>https://doi.org/10.1029/2019JG005371</w:t>
      </w:r>
    </w:p>
    <w:p w:rsidR="00DB42FE" w:rsidRPr="003532DF" w:rsidRDefault="00DB42FE" w:rsidP="00616347">
      <w:pPr>
        <w:pStyle w:val="EndNoteBibliography"/>
        <w:spacing w:after="0"/>
        <w:ind w:left="360"/>
      </w:pPr>
      <w:r w:rsidRPr="003532DF">
        <w:t>A site at the gas hydrate stability limit was investigated offshore northwestern Svalbard to study methane transport in sediment. The site was characterized by chemosynthetic communities (sulfur bacteria mats, tubeworms) and gas venting. Sediments were sampled with in situ porewater collectors and by gravity coring followed by analyses of porewater constituents, sediment and carbonate geochemistry, and microbial activity, taxonomy, and lipid biomarkers. Sulfide and alkalinity concentrations showed concentration maxima in near‐surface sediments at the bacterial mat and deeper maxima at the gas vent site. Sediments at the periphery of the chemosynthetic field were characterized by two sulfate‐methane transition zones (SMTZs) at ~204 and 45 cm depth, where activity maxima of microbial anaerobic oxidation of methane (AOM) with sulfate were found. Amplicon sequencing and lipid biomarker indicate that AOM at the SMTZs was mediated by ANME‐1 archaea. A 1D numerical transport reaction model suggests that the deeper SMTZ‐1 formed on centennial scale by vertical advection of methane, while the shallower SMTZ‐2 could only be reproduced by nonvertical methane injections starting on decadal scale. Model results were supported by age distribution of authigenic carbonates, showing youngest carbonates within SMTZ‐2. We propose that nonvertical methane injection was induced by increasing blockage of vertical transport or formation of sediment fractures. Our study further suggests that the methanotrophic response to the nonvertical methane injection was commensurate with new methane supply. This finding provides new information about for the response time and efficiency of the benthic methane filter in environments with fluctuating methane transport.</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lastRenderedPageBreak/>
        <w:t xml:space="preserve">Truche, L., McCollom, T.M., Martinez, I., </w:t>
      </w:r>
      <w:r w:rsidR="00616347">
        <w:t xml:space="preserve">2020. </w:t>
      </w:r>
      <w:r w:rsidRPr="003532DF">
        <w:t>Hydrogen and abiotic hydrocarbons: Molecules that change the world. Elements 16, 13-18.</w:t>
      </w:r>
    </w:p>
    <w:p w:rsidR="00DB42FE" w:rsidRPr="003532DF" w:rsidRDefault="00DB42FE" w:rsidP="00616347">
      <w:pPr>
        <w:pStyle w:val="EndNoteBibliography"/>
        <w:ind w:left="360"/>
      </w:pPr>
      <w:r w:rsidRPr="003532DF">
        <w:t>https://doi.org/10.2138/gselements.16.1.13</w:t>
      </w:r>
    </w:p>
    <w:p w:rsidR="00DB42FE" w:rsidRPr="003532DF" w:rsidRDefault="00DB42FE" w:rsidP="00616347">
      <w:pPr>
        <w:pStyle w:val="EndNoteBibliography"/>
        <w:spacing w:after="0"/>
        <w:ind w:left="360"/>
      </w:pPr>
      <w:r w:rsidRPr="003532DF">
        <w:t>Molecular hydrogen (H</w:t>
      </w:r>
      <w:r w:rsidRPr="003532DF">
        <w:rPr>
          <w:vertAlign w:val="subscript"/>
        </w:rPr>
        <w:t>2</w:t>
      </w:r>
      <w:r w:rsidRPr="003532DF">
        <w:t>), methane, and hydrocarbons with an apparent abiotic origin have been observed in a variety of geologic settings, including serpentinized ultramafic rocks, hydrothermal fluids, and deep fractures within ancient cratons. Molecular hydrogen is also observed in vapor plumes emanating from the icy crust of Saturn’s moon Enceladus, and methane has been detected in the atmosphere of Mars. Geologic production of these compounds has been the subject of increasing scientific attention due to their use by chemosynthetic biological communities. These compounds are also of interest as possible energy resources. This issue summarizes the geological sources of abiotic H</w:t>
      </w:r>
      <w:r w:rsidRPr="003532DF">
        <w:rPr>
          <w:vertAlign w:val="subscript"/>
        </w:rPr>
        <w:t>2</w:t>
      </w:r>
      <w:r w:rsidRPr="003532DF">
        <w:t xml:space="preserve"> and hydrocarbons on Earth and elsewhere and examines their impact on microbial life and energy resources.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Turner, B., Burkhart, B.W., Weidenbach, K., Ross, R., Limbach, P.A., Schmitz, R.A., de Crécy-Lagard, V., Stedman, K.M., Santangelo, T.J., Iwata-Reuyl, D., </w:t>
      </w:r>
      <w:r w:rsidR="00616347">
        <w:t xml:space="preserve">2020. </w:t>
      </w:r>
      <w:r w:rsidRPr="003532DF">
        <w:t>Archaeosine modification of archaeal tRNA: Role in structural stabilization. Journal of Bacteriology 202, e00748-19.</w:t>
      </w:r>
    </w:p>
    <w:p w:rsidR="00DB42FE" w:rsidRPr="003532DF" w:rsidRDefault="00DB42FE" w:rsidP="00616347">
      <w:pPr>
        <w:pStyle w:val="EndNoteBibliography"/>
        <w:ind w:left="360"/>
      </w:pPr>
      <w:r w:rsidRPr="003532DF">
        <w:t>http://jb.asm.org/content/202/8/e00748-19.abstract</w:t>
      </w:r>
    </w:p>
    <w:p w:rsidR="00DB42FE" w:rsidRPr="003532DF" w:rsidRDefault="00DB42FE" w:rsidP="00616347">
      <w:pPr>
        <w:pStyle w:val="EndNoteBibliography"/>
        <w:ind w:left="360"/>
      </w:pPr>
      <w:r w:rsidRPr="003532DF">
        <w:t>Abstract: Archaeosine (G</w:t>
      </w:r>
      <w:r w:rsidRPr="003532DF">
        <w:rPr>
          <w:vertAlign w:val="superscript"/>
        </w:rPr>
        <w:t>+</w:t>
      </w:r>
      <w:r w:rsidRPr="003532DF">
        <w:t xml:space="preserve">) is a structurally complex modified nucleoside found quasi-universally in the tRNA of </w:t>
      </w:r>
      <w:r w:rsidRPr="003532DF">
        <w:rPr>
          <w:i/>
        </w:rPr>
        <w:t>Archaea</w:t>
      </w:r>
      <w:r w:rsidRPr="003532DF">
        <w:t xml:space="preserve"> and located at position 15 in the dihydrouridine loop, a site not modified in any tRNA outside the </w:t>
      </w:r>
      <w:r w:rsidRPr="003532DF">
        <w:rPr>
          <w:i/>
        </w:rPr>
        <w:t>Archaea</w:t>
      </w:r>
      <w:r w:rsidRPr="003532DF">
        <w:t>. G</w:t>
      </w:r>
      <w:r w:rsidRPr="003532DF">
        <w:rPr>
          <w:vertAlign w:val="superscript"/>
        </w:rPr>
        <w:t>+</w:t>
      </w:r>
      <w:r w:rsidRPr="003532DF">
        <w:t xml:space="preserve"> is characterized by an unusual 7-deazaguanosine core structure with a formamidine group at the 7-position. The location of G</w:t>
      </w:r>
      <w:r w:rsidRPr="003532DF">
        <w:rPr>
          <w:vertAlign w:val="superscript"/>
        </w:rPr>
        <w:t>+</w:t>
      </w:r>
      <w:r w:rsidRPr="003532DF">
        <w:t xml:space="preserve"> at position 15, coupled with its novel molecular structure, led to a hypothesis that G</w:t>
      </w:r>
      <w:r w:rsidRPr="003532DF">
        <w:rPr>
          <w:vertAlign w:val="superscript"/>
        </w:rPr>
        <w:t>+</w:t>
      </w:r>
      <w:r w:rsidRPr="003532DF">
        <w:t xml:space="preserve"> stabilizes tRNA tertiary structure through several distinct mechanisms. To test whether G</w:t>
      </w:r>
      <w:r w:rsidRPr="003532DF">
        <w:rPr>
          <w:vertAlign w:val="superscript"/>
        </w:rPr>
        <w:t>+</w:t>
      </w:r>
      <w:r w:rsidRPr="003532DF">
        <w:t xml:space="preserve"> contributes to tRNA stability and define the biological role of G</w:t>
      </w:r>
      <w:r w:rsidRPr="003532DF">
        <w:rPr>
          <w:vertAlign w:val="superscript"/>
        </w:rPr>
        <w:t>+</w:t>
      </w:r>
      <w:r w:rsidRPr="003532DF">
        <w:t>, we investigated the consequences of introducing targeted mutations that disrupt the biosynthesis of G</w:t>
      </w:r>
      <w:r w:rsidRPr="003532DF">
        <w:rPr>
          <w:vertAlign w:val="superscript"/>
        </w:rPr>
        <w:t>+</w:t>
      </w:r>
      <w:r w:rsidRPr="003532DF">
        <w:t xml:space="preserve"> into the genome of the hyperthermophilic archaeon Thermococcus kodakarensis and the mesophilic archaeon Methanosarcina mazei, resulting in modification of the tRNA with the G</w:t>
      </w:r>
      <w:r w:rsidRPr="003532DF">
        <w:rPr>
          <w:vertAlign w:val="superscript"/>
        </w:rPr>
        <w:t>+</w:t>
      </w:r>
      <w:r w:rsidRPr="003532DF">
        <w:t xml:space="preserve"> precursor 7-cyano-7-deazaguansine (preQ</w:t>
      </w:r>
      <w:r w:rsidRPr="003532DF">
        <w:rPr>
          <w:vertAlign w:val="subscript"/>
        </w:rPr>
        <w:t>0</w:t>
      </w:r>
      <w:r w:rsidRPr="003532DF">
        <w:t xml:space="preserve">) (deletion of </w:t>
      </w:r>
      <w:r w:rsidRPr="003532DF">
        <w:rPr>
          <w:i/>
        </w:rPr>
        <w:t>arcS</w:t>
      </w:r>
      <w:r w:rsidRPr="003532DF">
        <w:t xml:space="preserve">) or no modification at position 15 (deletion of </w:t>
      </w:r>
      <w:r w:rsidRPr="003532DF">
        <w:rPr>
          <w:i/>
        </w:rPr>
        <w:t>tgtA</w:t>
      </w:r>
      <w:r w:rsidRPr="003532DF">
        <w:t xml:space="preserve">). Assays of tRNA stability from </w:t>
      </w:r>
      <w:r w:rsidRPr="003532DF">
        <w:rPr>
          <w:i/>
        </w:rPr>
        <w:t>in vitro</w:t>
      </w:r>
      <w:r w:rsidRPr="003532DF">
        <w:t>-prepared and enzymatically modified tRNA transcripts, as well as tRNA isolated from the T. kodakarensis mutant strains, demonstrate that G</w:t>
      </w:r>
      <w:r w:rsidRPr="003532DF">
        <w:rPr>
          <w:vertAlign w:val="superscript"/>
        </w:rPr>
        <w:t>+</w:t>
      </w:r>
      <w:r w:rsidRPr="003532DF">
        <w:t xml:space="preserve"> at position 15 imparts stability to tRNAs that varies depending on the overall modification state of the tRNA and the concentration of magnesium chloride and that when absent results in profound deficiencies in the thermophily of T. kodakarensis.</w:t>
      </w:r>
    </w:p>
    <w:p w:rsidR="00DB42FE" w:rsidRPr="003532DF" w:rsidRDefault="00DB42FE" w:rsidP="00616347">
      <w:pPr>
        <w:pStyle w:val="EndNoteBibliography"/>
        <w:spacing w:after="0"/>
        <w:ind w:left="360"/>
      </w:pPr>
      <w:r w:rsidRPr="003532DF">
        <w:t>Importance: Archaeosine is ubiquitous in archaeal tRNA, where it is located at position 15. Based on its molecular structure, it was proposed to stabilize tRNA, and we show that loss of archaeosine in Thermococcus kodakarensis results in a strong temperature-sensitive phenotype, while there is no detectable phenotype when it is lost in Methanosarcina mazei. Measurements of tRNA stability show that archaeosine stabilizes the tRNA structure but that this effect is much greater when it is present in otherwise unmodified tRNA transcripts than in the context of fully modified tRNA, suggesting that it may be especially important during the early stages of tRNA processing and maturation in thermophiles. Our results demonstrate how small changes in the stability of structural RNAs can be manifested in significant biological-fitness changes.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lastRenderedPageBreak/>
        <w:t xml:space="preserve">Turner, P.J., Ball, B., Diana, Z., Fariñas-Bermejo, A., Grace, I., McVeigh, D., Powers, M.M., Van Audenhaege, L., Maslakova, S., Young, C.M., Van Dover, C.L., </w:t>
      </w:r>
      <w:r w:rsidR="00616347">
        <w:t xml:space="preserve">2020. </w:t>
      </w:r>
      <w:r w:rsidRPr="003532DF">
        <w:t xml:space="preserve">Methane seeps on the US Atlantic margin and their potential importance to populations of the commercially valuable deep-sea red crab, </w:t>
      </w:r>
      <w:r w:rsidRPr="003532DF">
        <w:rPr>
          <w:i/>
        </w:rPr>
        <w:t>Chaceon quinquedens</w:t>
      </w:r>
      <w:r w:rsidRPr="003532DF">
        <w:t>. Frontiers in Marine Science 7, 75. doi: 10.3389/fmars.2020.00075.</w:t>
      </w:r>
    </w:p>
    <w:p w:rsidR="00DB42FE" w:rsidRPr="003532DF" w:rsidRDefault="00DB42FE" w:rsidP="00616347">
      <w:pPr>
        <w:pStyle w:val="EndNoteBibliography"/>
        <w:ind w:left="360"/>
      </w:pPr>
      <w:r w:rsidRPr="003532DF">
        <w:t>https://www.frontiersin.org/article/10.3389/fmars.2020.00075</w:t>
      </w:r>
    </w:p>
    <w:p w:rsidR="00DB42FE" w:rsidRPr="003532DF" w:rsidRDefault="00DB42FE" w:rsidP="00616347">
      <w:pPr>
        <w:pStyle w:val="EndNoteBibliography"/>
        <w:spacing w:after="0"/>
        <w:ind w:left="360"/>
      </w:pPr>
      <w:r w:rsidRPr="003532DF">
        <w:t>Methane seeps provide a variety of ecosystem services, including the provision of complex habitat structures and high levels of primary production, which can act as trophic support to non-seep-endemic species in an otherwise food-limited environment. The discovery of hundreds of seeps on the US Atlantic margin, ranging in depth from ~50 to 1,700 m, provides the opportunity to assess depth-related differences in seep-associated communities. Here, we use photo transects to characterize the megafaunal communities at six seeps along the US Atlantic margin, comparing taxonomic richness and community structure (taxon-abundance patterns) at shallow (~400 m) and deep (~1,500 m) seeps. We use molecular analysis to identify the mussel species present and stable isotope analysis to explore the trophic ecology of bathymodiolin mussels and red crabs (</w:t>
      </w:r>
      <w:r w:rsidRPr="003532DF">
        <w:rPr>
          <w:i/>
        </w:rPr>
        <w:t>Chaceon quinquedens</w:t>
      </w:r>
      <w:r w:rsidRPr="003532DF">
        <w:t xml:space="preserve">). Our results suggest a faunal boundary exists between shallow and deep seeps; depth, and the co-varying factor temperature, explained 72% of the variation observed in taxon-abundance patterns. All mussel samples were identified as </w:t>
      </w:r>
      <w:r w:rsidRPr="003532DF">
        <w:rPr>
          <w:i/>
        </w:rPr>
        <w:t>Bathymodiolus childressi</w:t>
      </w:r>
      <w:r w:rsidRPr="003532DF">
        <w:t xml:space="preserve">, extending the known dominance of </w:t>
      </w:r>
      <w:r w:rsidRPr="003532DF">
        <w:rPr>
          <w:i/>
        </w:rPr>
        <w:t>B. childressi</w:t>
      </w:r>
      <w:r w:rsidRPr="003532DF">
        <w:t xml:space="preserve"> at seeps near Baltimore Canyon to seeps off New England. Stable isotope analyses suggest </w:t>
      </w:r>
      <w:r w:rsidRPr="003532DF">
        <w:rPr>
          <w:i/>
        </w:rPr>
        <w:t>B. childressi</w:t>
      </w:r>
      <w:r w:rsidRPr="003532DF">
        <w:t xml:space="preserve"> relies predominantly, if not entirely, on methane-derived nutrition at both shallow and deep seeps. For red crab, the proportion of methane-derived carbon within muscle tissue is highly variable, contributing ~0% of nutrition for crabs sampled at Shallop East and West but ~30 and 50% of nutrition for two individuals sampled at Chincoteague East. In addition to red crabs using seeps as a food resource, invertebrate larvae samples and observational data suggests Chincoteague East may act as a reproductive hotspot for red crabs. Fifteen mating pairs, three ovigerous females, and numerous zoea larvae (identified as belonging to </w:t>
      </w:r>
      <w:r w:rsidRPr="003532DF">
        <w:rPr>
          <w:i/>
        </w:rPr>
        <w:t>C. quinquedens</w:t>
      </w:r>
      <w:r w:rsidRPr="003532DF">
        <w:t>) were observed at or above Chincoteague East, providing what we believe is the first evidence that some seeps may act as a reproductive hotspot for a commercially valuable species. This study highlights two ways that seeps may support fishery productivity (i.e., providing trophic support and increasing reproductive success) and encourages future research exploring the connection between deep-sea chemosynthetic ecosystems and commercially valuable species.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Turner, S., Wilde, S., Wörner, G., Schaefer, B., Lai, Y.-J., </w:t>
      </w:r>
      <w:r w:rsidR="00616347">
        <w:t xml:space="preserve">2020. </w:t>
      </w:r>
      <w:r w:rsidRPr="003532DF">
        <w:t>An andesitic source for Jack Hills zircon supports onset of plate tectonics in the Hadean. Nature Communications 11, 1241.</w:t>
      </w:r>
    </w:p>
    <w:p w:rsidR="00DB42FE" w:rsidRPr="003532DF" w:rsidRDefault="00DB42FE" w:rsidP="00616347">
      <w:pPr>
        <w:pStyle w:val="EndNoteBibliography"/>
        <w:ind w:left="360"/>
      </w:pPr>
      <w:r w:rsidRPr="003532DF">
        <w:t>https://doi.org/10.1038/s41467-020-14857-1</w:t>
      </w:r>
    </w:p>
    <w:p w:rsidR="00DB42FE" w:rsidRPr="003532DF" w:rsidRDefault="00DB42FE" w:rsidP="00616347">
      <w:pPr>
        <w:pStyle w:val="EndNoteBibliography"/>
        <w:spacing w:after="0"/>
        <w:ind w:left="360"/>
      </w:pPr>
      <w:r w:rsidRPr="003532DF">
        <w:t xml:space="preserve">The composition and origin of Earth’s early crust remains hotly debated. Here we use partition coefficients to invert the trace element composition of 4.3–3.3 Gyr Jack Hills zircons to calculate the composition of the melts from which they crystallised. Using this approach, the average SiO2 content of these melts was 59 ± 6 wt. % with Th/Nb, Dy/Yb and Sr/Y ratios of 2.7 ± 1.9, 0.9 ± 0.2 and 1.6 ± 0.7, respectively. Such features strongly indicate that the protolith for the Jack Hills zircons was not an intra-plate mafic rock, nor a TTG (tondjhemite-tonalite-granodiorite) or a Sudbury-like impact melt. Instead, the inferred equilibrium melts are much more similar to andesites formed in modern subduction settings. We find no evidence for any secular variation between 4.3 and 3.3 Gyr implying </w:t>
      </w:r>
      <w:r w:rsidRPr="003532DF">
        <w:lastRenderedPageBreak/>
        <w:t>little change in the composition or tectonic affinity of the Earth’s early crust from the Hadean to Mesoarchaean.</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Tylén, K., Fusaroli, R., Rojo, S., Heimann, K., Fay, N., Johannsen, N.N., Riede, F., Lombard, M., </w:t>
      </w:r>
      <w:r w:rsidR="00616347">
        <w:t xml:space="preserve">2020. </w:t>
      </w:r>
      <w:r w:rsidRPr="003532DF">
        <w:t xml:space="preserve">The evolution of early symbolic behavior in </w:t>
      </w:r>
      <w:r w:rsidRPr="003532DF">
        <w:rPr>
          <w:i/>
        </w:rPr>
        <w:t>Homo sapiens</w:t>
      </w:r>
      <w:r w:rsidRPr="003532DF">
        <w:t>. Proceedings of the National Academy of Sciences 117, 4578.</w:t>
      </w:r>
    </w:p>
    <w:p w:rsidR="00DB42FE" w:rsidRPr="003532DF" w:rsidRDefault="00DB42FE" w:rsidP="00616347">
      <w:pPr>
        <w:pStyle w:val="EndNoteBibliography"/>
        <w:ind w:left="360"/>
      </w:pPr>
      <w:r w:rsidRPr="003532DF">
        <w:t>https://doi.org/10.1073/pnas.1910880117</w:t>
      </w:r>
    </w:p>
    <w:p w:rsidR="00DB42FE" w:rsidRPr="003532DF" w:rsidRDefault="00DB42FE" w:rsidP="00616347">
      <w:pPr>
        <w:pStyle w:val="EndNoteBibliography"/>
        <w:ind w:left="360"/>
      </w:pPr>
      <w:r w:rsidRPr="003532DF">
        <w:t xml:space="preserve">Significance: Early symbolic behavior of </w:t>
      </w:r>
      <w:r w:rsidRPr="003532DF">
        <w:rPr>
          <w:i/>
        </w:rPr>
        <w:t>Homo sapiens</w:t>
      </w:r>
      <w:r w:rsidRPr="003532DF">
        <w:t xml:space="preserve"> is challenging to address yet arguably fundamental to the success of our species. We used ancient engravings from the South African Blombos Cave and Diepkloof Rock Shelter in a number of controlled cognitive experiments to qualify discussions about the evolution of early symbolic traditions. We found that the engravings evolved over a period of 30,000 y to become more effective “tools for the mind,” that is, more salient to the human eye, increasingly expressive of human intent and identity, and easier to reproduce from memory. Our experiments suggest that the engravings served as decorations and expressions of socially transmitted cultural traditions, while we found no clear evidence that they served as denotational symbolic signs.</w:t>
      </w:r>
    </w:p>
    <w:p w:rsidR="00DB42FE" w:rsidRPr="003532DF" w:rsidRDefault="00DB42FE" w:rsidP="00616347">
      <w:pPr>
        <w:pStyle w:val="EndNoteBibliography"/>
        <w:spacing w:after="0"/>
        <w:ind w:left="360"/>
      </w:pPr>
      <w:r w:rsidRPr="003532DF">
        <w:t xml:space="preserve">Abstract: How did human symbolic behavior evolve? Dating up to about 100,000 y ago, the engraved ochre and ostrich eggshell fragments from the South African Blombos Cave and Diepkloof Rock Shelter provide a unique window into presumed early symbolic traditions of </w:t>
      </w:r>
      <w:r w:rsidRPr="003532DF">
        <w:rPr>
          <w:i/>
        </w:rPr>
        <w:t>Homo sapiens</w:t>
      </w:r>
      <w:r w:rsidRPr="003532DF">
        <w:t xml:space="preserve"> and how they evolved over a period of more than 30,000 y. Using the engravings as stimuli, we report five experiments which suggest that the engravings evolved adaptively, becoming better-suited for human perception and cognition. More specifically, they became more salient, memorable, reproducible, and expressive of style and human intent. However, they did not become more discriminable over time between or within the two archeological sites. Our observations provide support for an account of the Blombos and Diepkloof engravings as decorations and as socially transmitted cultural traditions. By contrast, there was no clear indication that they served as denotational symbolic signs. Our findings have broad implications for our understanding of early symbolic communication and cognition in </w:t>
      </w:r>
      <w:r w:rsidRPr="003532DF">
        <w:rPr>
          <w:i/>
        </w:rPr>
        <w:t>H. sapiens</w:t>
      </w:r>
      <w:r w:rsidRPr="003532DF">
        <w:t>.</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Vafaie, A., Rahimzadeh Kivi, I., </w:t>
      </w:r>
      <w:r w:rsidR="00616347">
        <w:t xml:space="preserve">2020. </w:t>
      </w:r>
      <w:r w:rsidRPr="003532DF">
        <w:t>An investigation on the effect of thermal maturity and rock composition on the mechanical behavior of carbonaceous shale formations. Marine and Petroleum Geology 116, 104315.</w:t>
      </w:r>
    </w:p>
    <w:p w:rsidR="00DB42FE" w:rsidRPr="003532DF" w:rsidRDefault="00DB42FE" w:rsidP="00616347">
      <w:pPr>
        <w:pStyle w:val="EndNoteBibliography"/>
        <w:ind w:left="360"/>
      </w:pPr>
      <w:r w:rsidRPr="003532DF">
        <w:t>http://www.sciencedirect.com/science/article/pii/S0264817220300982</w:t>
      </w:r>
    </w:p>
    <w:p w:rsidR="00DB42FE" w:rsidRPr="003532DF" w:rsidRDefault="00DB42FE" w:rsidP="00616347">
      <w:pPr>
        <w:pStyle w:val="EndNoteBibliography"/>
        <w:spacing w:after="0"/>
        <w:ind w:left="360"/>
      </w:pPr>
      <w:r w:rsidRPr="003532DF">
        <w:t xml:space="preserve">An accurate assessment of the geomechanical behavior of shale reservoirs is extremely significant in screening the potential intervals for hydraulic stimulation and sweet spot mapping. While most of the studies were carried out on siliciclastic shales, we here examine the mechanical behavior of a carbonaceous organic-rich shale in the Lurestan Basin, Iran, and the factors controlling them. Direct laboratory measurements at reservoir stress conditions (static method) and well-logging interpretations (dynamic approach) were employed to assess the main geomechanical properties. Besides, various experimental techniques have been employed to evaluate the dominant shale mineralogy, geochemical properties and rock fabric. It is observed that Young's modulus and Poisson's ratio, obtained from either static or dynamic approaches, are capable of reflecting rock brittleness. Conducted sensitivity analyses also reveal that abundances of organic matter, clay and </w:t>
      </w:r>
      <w:r w:rsidRPr="003532DF">
        <w:lastRenderedPageBreak/>
        <w:t>carbonate minerals are the most significant factors controlling rock brittleness. An increase in the brittleness is envisioned by increasing the carbonate content and inversely by decreasing the concentrations of clay minerals and organic matter. Moreover, week or no clear relationship regarding the possible effects of thermal maturity and quartz content could be distinguished. Incorporating the distinguished controlling factors into a compositional index, a similar relative brittleness sequence with the elasticity-based approach was detected. This indicates that both independent methods are suitable for the identification of brittle layers. Inspected shale samples illustrate notably higher strengths in comparison with well-characterized organic-rich shales in the world, translated as a direct contribution of firm carbonate textures to the rock framework. Taking these textures together with the main mineral contents into account, the reservoir can be subdivided into three lithofacies including limestone, argillaceous limestone and micritic limestone. Micritic limestones show relatively higher strength and brittleness, whereas limestone and argillaceous limestone facies, in spite of high variability, reflect in average lower strength and brittle characteristics.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Van de Waal, D.B., Litchman, E., </w:t>
      </w:r>
      <w:r w:rsidR="00616347">
        <w:t xml:space="preserve">2020. </w:t>
      </w:r>
      <w:r w:rsidRPr="003532DF">
        <w:t>Multiple global change stressor effects on phytoplankton nutrient acquisition in a future ocean. Philosophical Transactions of the Royal Society B: Biological Sciences 375, 20190706.</w:t>
      </w:r>
    </w:p>
    <w:p w:rsidR="00DB42FE" w:rsidRPr="003532DF" w:rsidRDefault="00DB42FE" w:rsidP="00616347">
      <w:pPr>
        <w:pStyle w:val="EndNoteBibliography"/>
        <w:ind w:left="360"/>
      </w:pPr>
      <w:r w:rsidRPr="003532DF">
        <w:t>https://doi.org/10.1098/rstb.2019.0706</w:t>
      </w:r>
    </w:p>
    <w:p w:rsidR="00DB42FE" w:rsidRPr="003532DF" w:rsidRDefault="00DB42FE" w:rsidP="00616347">
      <w:pPr>
        <w:pStyle w:val="EndNoteBibliography"/>
        <w:spacing w:after="0"/>
        <w:ind w:left="360"/>
      </w:pPr>
      <w:r w:rsidRPr="003532DF">
        <w:t xml:space="preserve">Predicting the effects of multiple global change stressors on microbial communities remains a challenge because of the complex interactions among those factors. Here, we explore the combined effects of major global change stressors on nutrient acquisition traits in marine phytoplankton. Nutrient limitation constrains phytoplankton production in large parts of the present-day oceans, and is expected to increase owing to climate change, potentially favouring small phytoplankton that are better adapted to oligotrophic conditions. However, other stressors, such as elevated </w:t>
      </w:r>
      <w:r w:rsidRPr="003532DF">
        <w:rPr>
          <w:i/>
        </w:rPr>
        <w:t>p</w:t>
      </w:r>
      <w:r w:rsidRPr="003532DF">
        <w:t>CO</w:t>
      </w:r>
      <w:r w:rsidRPr="003532DF">
        <w:rPr>
          <w:vertAlign w:val="subscript"/>
        </w:rPr>
        <w:t>2</w:t>
      </w:r>
      <w:r w:rsidRPr="003532DF">
        <w:t>, rising temperatures and higher light levels, may reduce general metabolic and photosynthetic costs, allowing the reallocation of energy to the acquisition of increasingly limiting nutrients. We propose that this energy reallocation in response to major global change stressors may be more effective in large-celled phytoplankton species and, thus, could indirectly benefit large-more than small-celled phytoplankton, offsetting, at least partially, competitive disadvantages of large cells in a future ocean. Thus, considering the size-dependent responses to multiple stressors may provide a more nuanced understanding of how different microbial groups would fare in the future climate and what effects that would have on ecosystem functioning.</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Van Leeuwen, J.A., Hartog, N., Gerritse, J., Gallacher, C., Helmus, R., Brock, O., Parsons, J.R., Hassanizadeh, S.M., </w:t>
      </w:r>
      <w:r w:rsidR="00616347">
        <w:t xml:space="preserve">2020. </w:t>
      </w:r>
      <w:r w:rsidRPr="003532DF">
        <w:t>The dissolution and microbial degradation of mobile aromatic hydrocarbons from a Pintsch gas tar DNAPL source zone. Science of The Total Environment 722, 137797.</w:t>
      </w:r>
    </w:p>
    <w:p w:rsidR="00DB42FE" w:rsidRPr="003532DF" w:rsidRDefault="00DB42FE" w:rsidP="00616347">
      <w:pPr>
        <w:pStyle w:val="EndNoteBibliography"/>
        <w:ind w:left="360"/>
      </w:pPr>
      <w:r w:rsidRPr="003532DF">
        <w:t>http://www.sciencedirect.com/science/article/pii/S0048969720313097</w:t>
      </w:r>
    </w:p>
    <w:p w:rsidR="00DB42FE" w:rsidRPr="003532DF" w:rsidRDefault="00DB42FE" w:rsidP="00616347">
      <w:pPr>
        <w:pStyle w:val="EndNoteBibliography"/>
        <w:spacing w:after="0"/>
        <w:ind w:left="360"/>
      </w:pPr>
      <w:r w:rsidRPr="003532DF">
        <w:t xml:space="preserve">Source zones containing tar, a dense non-aqueous phase liquid (DNAPL), can contaminate groundwater for centuries. A common occurrence of tar is at former Pintsch gas factories. Little is known about the composition and fate of contaminants dissolving from Pintsch gas tar DNAPL. In this study, we determined the composition and water-soluble characteristics of mobile aromatic </w:t>
      </w:r>
      <w:r w:rsidRPr="003532DF">
        <w:lastRenderedPageBreak/>
        <w:t>hydrocarbons and their biodegradation metabolites in the DNAPL contaminated groundwater at a former Pintsch gas tar plant. We assessed the factors that determine the fate of observed groundwater contaminants. Measured values of density (1.03–1.06 kg/m</w:t>
      </w:r>
      <w:r w:rsidRPr="003532DF">
        <w:rPr>
          <w:vertAlign w:val="superscript"/>
        </w:rPr>
        <w:t>3</w:t>
      </w:r>
      <w:r w:rsidRPr="003532DF">
        <w:t>) and viscosity (18.6–39.4 cP) were found to be relatively low compared to common coal tars. Analysis showed that unlike common coal tars phenanthrene is the primary component rather than naphthalene. Moreover, it was found that Pintsch gas tar contains a relatively high amount of light molecular aromatic hydrocarbon compounds, such as benzene, toluene, ethylbenzene and xylenes (BTEX). Less commonly reported components, such as styrene, ethyltoluenes, di-ethylbenzene, 1,2,4,5-tetramethylbenzene, were also detected in water extracts from Pintsch gas tar. Moreover, 46 relatively hydrophilic metabolites were found within the tar samples. Metabolites present within the tar suggest biodegradation of mobile aromatic Pintsch gas tar compounds occurred near the DNAPL. Based on eleven detected suspect metabolites, a novel anaerobic biodegradation pathway is proposed for indene. Overall, our findings indicate that Pintsch gas tar has higher invasive and higher flux properties than most coal tars due to its relatively low density, low viscosity and, high content of water-soluble compounds. The partitioning of contaminants from multi-component DNAPL into the aqueous phase and re-dissolution of their slightly less hydrophobic metabolites back from the aqueous phase into the DNAPL is feasible and demonstrates the complexity of assessing degradation processes within a source zone.</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VanInsberghe, D., Arevalo, P., Chien, D., Polz, M.F., </w:t>
      </w:r>
      <w:r w:rsidR="00616347">
        <w:t xml:space="preserve">2020. </w:t>
      </w:r>
      <w:r w:rsidRPr="003532DF">
        <w:t>How can microbial population genomics inform community ecology? Philosophical Transactions of the Royal Society B: Biological Sciences 375, 20190253.</w:t>
      </w:r>
    </w:p>
    <w:p w:rsidR="00DB42FE" w:rsidRPr="003532DF" w:rsidRDefault="00DB42FE" w:rsidP="00616347">
      <w:pPr>
        <w:pStyle w:val="EndNoteBibliography"/>
        <w:ind w:left="360"/>
      </w:pPr>
      <w:r w:rsidRPr="003532DF">
        <w:t>https://doi.org/10.1098/rstb.2019.0253</w:t>
      </w:r>
    </w:p>
    <w:p w:rsidR="00DB42FE" w:rsidRPr="003532DF" w:rsidRDefault="00DB42FE" w:rsidP="00616347">
      <w:pPr>
        <w:pStyle w:val="EndNoteBibliography"/>
        <w:spacing w:after="0"/>
        <w:ind w:left="360"/>
      </w:pPr>
      <w:r w:rsidRPr="003532DF">
        <w:t>Populations are fundamental units of ecology and evolution, but can we define them for bacteria and archaea in a biologically meaningful way? Here, we review why population structure is difficult to recognize in microbes and how recent advances in measuring contemporary gene flow allow us to identify clearly delineated populations among collections of closely related genomes. Such structure can arise from preferential gene flow caused by coexistence and genetic similarity, defining populations based on biological mechanisms. We show that such gene flow units are sufficiently genetically isolated for specific adaptations to spread, making them also ecological units that are differentially adapted compared to their closest relatives. We discuss the implications of these observations for measuring bacterial and archaeal diversity in the environment. We show that operational taxonomic units defined by 16S rRNA gene sequencing have woefully poor resolution for ecologically defined populations and propose monophyletic clusters of nearly identical ribosomal protein genes as an alternative measure for population mapping in community ecological studies employing metagenomics. These population-based approaches have the potential to provide much-needed clarity in interpreting the vast microbial diversity in human and environmental microbiomes.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Vasileva, K.Y., Ershova, V.B., Khudoley, A.K., Khusnitdinov, R.R., Kuznetsov, A.B., Prokofiev, V.Y., Bekker, A., </w:t>
      </w:r>
      <w:r w:rsidR="00616347">
        <w:t xml:space="preserve">2020. </w:t>
      </w:r>
      <w:r w:rsidRPr="003532DF">
        <w:t>Diagenetic history of the Proterozoic carbonates and its role in the oil field development in the Baikit Anteclise, Southwestern Siberia. Precambrian Research 342, 105690.</w:t>
      </w:r>
    </w:p>
    <w:p w:rsidR="00DB42FE" w:rsidRPr="003532DF" w:rsidRDefault="00DB42FE" w:rsidP="00616347">
      <w:pPr>
        <w:pStyle w:val="EndNoteBibliography"/>
        <w:ind w:left="360"/>
      </w:pPr>
      <w:r w:rsidRPr="003532DF">
        <w:t>http://www.sciencedirect.com/science/article/pii/S0301926819305960</w:t>
      </w:r>
    </w:p>
    <w:p w:rsidR="00DB42FE" w:rsidRPr="003532DF" w:rsidRDefault="00DB42FE" w:rsidP="00616347">
      <w:pPr>
        <w:pStyle w:val="EndNoteBibliography"/>
        <w:ind w:left="360"/>
      </w:pPr>
      <w:r w:rsidRPr="003532DF">
        <w:lastRenderedPageBreak/>
        <w:t xml:space="preserve">The Meso- to Neoproterozoic Kamo Group and Ediacaran carbonate rocks of the Baikit Anteclise, southwestern Siberian platform, Russia, were studied to reconstruct the history of development of the reservoir rocks and oil field. The Kamo Group is composed of 3.5 to 4 km thick dolostone and, rarely, limestone succession that was deformed before the Ediacaran time. Post-depositional processes played the key role in forming the reservoir properties of the Kamo Group. During the stage of deposition and subsidence (1500–720 Ma) silicification, cementation, and recrystallization caused development of a dense and low-permeability matrix. Pronounced recrystallization led to changes in isotopic and geochemical characteristics of the primary sediments, including increase in Mn (up to 0.093%) and Fe (up to 3.11%) contents and </w:t>
      </w:r>
      <w:r w:rsidRPr="003532DF">
        <w:rPr>
          <w:vertAlign w:val="superscript"/>
        </w:rPr>
        <w:t>87</w:t>
      </w:r>
      <w:r w:rsidRPr="003532DF">
        <w:t>Sr/</w:t>
      </w:r>
      <w:r w:rsidRPr="003532DF">
        <w:rPr>
          <w:vertAlign w:val="superscript"/>
        </w:rPr>
        <w:t>86</w:t>
      </w:r>
      <w:r w:rsidRPr="003532DF">
        <w:t>Sr ratios (up to 0.7239), decrease in Sr concentrations (down to 11 ppm), and the development of flat REE-normalized patterns. Folding and uplift in the Baikit basin began about 720 Ma ago and caused fracturing and subsequent healing with vein dolomite and calcite precipitated from hot (70–130 °C) and highly saline (up to 28.7 wt%) fluids.</w:t>
      </w:r>
    </w:p>
    <w:p w:rsidR="00DB42FE" w:rsidRPr="003532DF" w:rsidRDefault="00DB42FE" w:rsidP="00616347">
      <w:pPr>
        <w:pStyle w:val="EndNoteBibliography"/>
        <w:ind w:left="360"/>
      </w:pPr>
      <w:r w:rsidRPr="003532DF">
        <w:t>Geochemical (e.g. PAAS-normalized patterns of REE) and isotopic (</w:t>
      </w:r>
      <w:r w:rsidRPr="003532DF">
        <w:rPr>
          <w:vertAlign w:val="superscript"/>
        </w:rPr>
        <w:t>87</w:t>
      </w:r>
      <w:r w:rsidRPr="003532DF">
        <w:t>Sr/</w:t>
      </w:r>
      <w:r w:rsidRPr="003532DF">
        <w:rPr>
          <w:vertAlign w:val="superscript"/>
        </w:rPr>
        <w:t>86</w:t>
      </w:r>
      <w:r w:rsidRPr="003532DF">
        <w:t>Sr, δ</w:t>
      </w:r>
      <w:r w:rsidRPr="003532DF">
        <w:rPr>
          <w:vertAlign w:val="superscript"/>
        </w:rPr>
        <w:t>18</w:t>
      </w:r>
      <w:r w:rsidRPr="003532DF">
        <w:t>O, and δ</w:t>
      </w:r>
      <w:r w:rsidRPr="003532DF">
        <w:rPr>
          <w:vertAlign w:val="superscript"/>
        </w:rPr>
        <w:t>13</w:t>
      </w:r>
      <w:r w:rsidRPr="003532DF">
        <w:t>C) signatures of host dolostones and crosscutting dolomite veins are very similar suggesting that dolomites within the veins formed through dissolution of the host rocks. Uplift caused subaerial erosion, intense dissolution, and karstification, which penetrated down to 200–300 m below the surface. Folding, uplift, and peneplenization were important for porosity and permeability development in the dolostones of the Kamo Group. The cap rocks were subsequently formed during the Ediacaran and Paleozoic sedimentation cycle.</w:t>
      </w:r>
    </w:p>
    <w:p w:rsidR="00DB42FE" w:rsidRPr="003532DF" w:rsidRDefault="00DB42FE" w:rsidP="00616347">
      <w:pPr>
        <w:pStyle w:val="EndNoteBibliography"/>
        <w:spacing w:after="0"/>
        <w:ind w:left="360"/>
      </w:pPr>
      <w:r w:rsidRPr="003532DF">
        <w:t>The oil field developed in the Paleozoic. Oil produced from the source rocks of the Madra, Vedreshev, and Iremeken formations of the Kamo Group was dissipated during the uplift and erosion before the Ediacaran sedimentation. After deposition of the Ediacaran and Cambrian strata, source rocks of the Iremeken Formation might have released oil when they passed the oil window, but most of oil in the Kuyumba field was derived from younger Ediacaran source rocks and migrated through fault network from the flanks (the Kureika and Cis-Sayan-Yenisey syneclises) into the reservoir of the Baikit Anteclise that was a topographic high at that time.</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Vaziri-Moghaddam, H., Kalanat, B., </w:t>
      </w:r>
      <w:r w:rsidR="00616347">
        <w:t xml:space="preserve">2020. </w:t>
      </w:r>
      <w:r w:rsidRPr="003532DF">
        <w:t>Oxygen level, primary productivity, and water turbulence during the OAE2 interval of Zagros Basin (SW Iran): Benthic foraminiferal variations in the carbonate microfacies. Gondwana Research 83, 1-15.</w:t>
      </w:r>
    </w:p>
    <w:p w:rsidR="00DB42FE" w:rsidRPr="003532DF" w:rsidRDefault="00DB42FE" w:rsidP="00616347">
      <w:pPr>
        <w:pStyle w:val="EndNoteBibliography"/>
        <w:ind w:left="360"/>
      </w:pPr>
      <w:r w:rsidRPr="003532DF">
        <w:t>http://www.sciencedirect.com/science/article/pii/S1342937X20300629</w:t>
      </w:r>
    </w:p>
    <w:p w:rsidR="00DB42FE" w:rsidRPr="003532DF" w:rsidRDefault="00DB42FE" w:rsidP="00616347">
      <w:pPr>
        <w:pStyle w:val="EndNoteBibliography"/>
        <w:spacing w:after="0"/>
        <w:ind w:left="360"/>
      </w:pPr>
      <w:r w:rsidRPr="003532DF">
        <w:t>Cenomanian/Turonian boundary (upper Sarvak Formation) benthic foraminiferal assemblages were analyzed to reconstruct oxygen level, primary productivity, and water turbulence in the Izeh Zone, Zagros Basin. The interplay between environmental perturbations during the Oceanic Anoxic Event 2 (OAE2) and regional tectonic activities in the Zagros Basin resulted in formation of various benthic foraminiferal assemblages in the study section. The OAE2 interval at the region of study starts with extinction of rotaliporids at the onset of δ</w:t>
      </w:r>
      <w:r w:rsidRPr="003532DF">
        <w:rPr>
          <w:vertAlign w:val="superscript"/>
        </w:rPr>
        <w:t>13</w:t>
      </w:r>
      <w:r w:rsidRPr="003532DF">
        <w:t xml:space="preserve">C positive excursion (peak “a”), which is associated with population of infaunal benthic foraminifera (especially </w:t>
      </w:r>
      <w:r w:rsidRPr="003532DF">
        <w:rPr>
          <w:i/>
        </w:rPr>
        <w:t>Bolivina alata</w:t>
      </w:r>
      <w:r w:rsidRPr="003532DF">
        <w:t xml:space="preserve">). The following interval at the onset of </w:t>
      </w:r>
      <w:r w:rsidRPr="003532DF">
        <w:rPr>
          <w:i/>
        </w:rPr>
        <w:t>Whiteinella archaeocretacea</w:t>
      </w:r>
      <w:r w:rsidRPr="003532DF">
        <w:t xml:space="preserve"> Biozone is characterized by the total absence of benthic taxa and dominance of planoheterohelicids (“</w:t>
      </w:r>
      <w:r w:rsidRPr="003532DF">
        <w:rPr>
          <w:i/>
        </w:rPr>
        <w:t>Heterohelix</w:t>
      </w:r>
      <w:r w:rsidRPr="003532DF">
        <w:t xml:space="preserve"> shift”) in the black shale strata, indicating expansion of oxygen minimum zone and unhospitable conditions for both benthic and planktic foraminifera. The upper part of OAE2 interval (including δ</w:t>
      </w:r>
      <w:r w:rsidRPr="003532DF">
        <w:rPr>
          <w:vertAlign w:val="superscript"/>
        </w:rPr>
        <w:t>13</w:t>
      </w:r>
      <w:r w:rsidRPr="003532DF">
        <w:t xml:space="preserve">C peaks “b” and “c”) coincides with harbinger of Neo-Tethys closure in the Arabian Plate, causing a compressional tectonic regime, and </w:t>
      </w:r>
      <w:r w:rsidRPr="003532DF">
        <w:lastRenderedPageBreak/>
        <w:t>creation of uplifted terrains in the basin. The relative sea level started to locally fall in this succession, which was accompanied by a better ventilation of seafloor, lower TOC contents, and reappearance of benthic foraminifera.</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Vellekoop, J., Van Tilborgh, K.H., Van Knippenberg, P., Jagt, J.W.M., Stassen, P., Goolaerts, S., Speijer, R.P., </w:t>
      </w:r>
      <w:r w:rsidR="00616347">
        <w:t xml:space="preserve">2020. </w:t>
      </w:r>
      <w:r w:rsidRPr="003532DF">
        <w:t>Type-Maastrichtian gastropod faunas show rapid ecosystem recovery following the Cretaceous–Palaeogene boundary catastrophe. Palaeontology 63, 349-367.</w:t>
      </w:r>
    </w:p>
    <w:p w:rsidR="00DB42FE" w:rsidRPr="003532DF" w:rsidRDefault="00DB42FE" w:rsidP="00616347">
      <w:pPr>
        <w:pStyle w:val="EndNoteBibliography"/>
        <w:ind w:left="360"/>
      </w:pPr>
      <w:r w:rsidRPr="003532DF">
        <w:t>https://doi.org/10.1111/pala.12462</w:t>
      </w:r>
    </w:p>
    <w:p w:rsidR="00DB42FE" w:rsidRPr="003532DF" w:rsidRDefault="00DB42FE" w:rsidP="00616347">
      <w:pPr>
        <w:pStyle w:val="EndNoteBibliography"/>
        <w:spacing w:after="0"/>
        <w:ind w:left="360"/>
      </w:pPr>
      <w:r w:rsidRPr="003532DF">
        <w:t>The study of the global mass extinction event at the Cretaceous–Palaeogene (K/Pg) boundary can aid in understanding patterns of selective extinction, and survival and dynamics of ecosystem recovery. Outcrops in the Maastrichtian type area (south‐east Netherlands, north‐east Belgium) comprise a stratigraphically expanded K/Pg boundary succession that offers a unique opportunity to study marine ecosystem recovery within the first few thousand years following the mass extinction event. A quantitative analysis was performed on systematically sampled macrofossils of the topmost Maastrichtian and lowermost Danian strata at the former Ankerpoort‐Curfs quarry (Geulhem), which represent ‘snapshots’ of the latest Cretaceous and earliest Palaeogene marine ecosystems, respectively. Molluscs in particular are diverse and abundant in the studied succession. Regional ecosystem changes across the K/Pg boundary are relatively minor, showing a decline in suspension feeders, accompanied by an ecological shift to endobenthic molluscs. The earliest Paleocene gastropod assemblage retains many ‘Maastrichtian’ features and documents a fauna that temporarily survived into the Danian. The shallow, oligotrophic carbonate platform in this area was inhabited by taxa that were adapted to low nutrient levels and resistant to starvation. As a result, the local taxa were less affected by the short‐lived detrimental conditions related to K/Pg boundary perturbations, such as darkness, cooling, starvation and ocean acidification. This resulted in relatively high survival rates, which enabled rapid recolonization and recovery of marine faunas in the Maastrichtian type area.</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Veneranda, M., Lopez-Reyes, G., Manrique, J.A., Medina, J., Ruiz-Galende, P., Torre-Fdez, I., Castro, K., Lantz, C., Poulet, F., Dypvik, H., Werner, S.C., Rull, F., </w:t>
      </w:r>
      <w:r w:rsidR="00616347">
        <w:t xml:space="preserve">2020. </w:t>
      </w:r>
      <w:r w:rsidRPr="003532DF">
        <w:t>ExoMars Raman laser spectrometer: A tool for the potential recognition of wet-target craters on Mars. Astrobiology 20, 349-363.</w:t>
      </w:r>
    </w:p>
    <w:p w:rsidR="00DB42FE" w:rsidRPr="003532DF" w:rsidRDefault="00DB42FE" w:rsidP="00616347">
      <w:pPr>
        <w:pStyle w:val="EndNoteBibliography"/>
        <w:ind w:left="360"/>
      </w:pPr>
      <w:r w:rsidRPr="003532DF">
        <w:t>https://doi.org/10.1089/ast.2019.2095</w:t>
      </w:r>
    </w:p>
    <w:p w:rsidR="00DB42FE" w:rsidRPr="003532DF" w:rsidRDefault="00DB42FE" w:rsidP="00616347">
      <w:pPr>
        <w:pStyle w:val="EndNoteBibliography"/>
        <w:spacing w:after="0"/>
        <w:ind w:left="360"/>
      </w:pPr>
      <w:r w:rsidRPr="003532DF">
        <w:t xml:space="preserve">In the present work, near-infrared, laser-induced breakdown spectroscopy, Raman, and X-ray diffractometer techniques have been complementarily used to carry out a comprehensive characterization of a terrestrial analogue selected from the Chesapeake Bay impact structure (CBIS). The obtained data clearly highlight the key role of Raman spectroscopy in the detection of minor and trace compounds, through which inferences about geological processes occurred in the CBIS can be extrapolated. Beside the use of commercial systems, further Raman analyses were performed by the Raman laser spectrometer (RLS) ExoMars Simulator. This instrument represents the most reliable tool to effectively predict the scientific capabilities of the ExoMars/Raman system that will be deployed on Mars in 2021. By emulating the analytical procedures and operational restrictions established by the ExoMars mission rover design, it was proved that the RLS ExoMars Simulator can detect the amorphization of quartz, which constitutes an analytical clue of the impact origin of craters. Beside amorphized minerals, the detection of barite and siderite, compounds crystallizing </w:t>
      </w:r>
      <w:r w:rsidRPr="003532DF">
        <w:lastRenderedPageBreak/>
        <w:t xml:space="preserve">under hydrothermal conditions, helps indirectly to confirm the presence of water in impact targets. Furthermore, the RLS ExoMars Simulator capability of performing smart molecular mappings was successfully evaluated. </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Vogel, G., </w:t>
      </w:r>
      <w:r w:rsidR="00616347">
        <w:t xml:space="preserve">2020. </w:t>
      </w:r>
      <w:r w:rsidRPr="003532DF">
        <w:t>Oldest fossil of modern birds is a ‘turducken’. Science 367, 1290.</w:t>
      </w:r>
    </w:p>
    <w:p w:rsidR="00DB42FE" w:rsidRPr="003532DF" w:rsidRDefault="00DB42FE" w:rsidP="00616347">
      <w:pPr>
        <w:pStyle w:val="EndNoteBibliography"/>
        <w:ind w:left="360"/>
      </w:pPr>
      <w:r w:rsidRPr="003532DF">
        <w:t>http://science.sciencemag.org/content/367/6484/1290.abstract</w:t>
      </w:r>
    </w:p>
    <w:p w:rsidR="00DB42FE" w:rsidRPr="003532DF" w:rsidRDefault="00DB42FE" w:rsidP="00616347">
      <w:pPr>
        <w:pStyle w:val="EndNoteBibliography"/>
        <w:ind w:left="360"/>
      </w:pPr>
      <w:r w:rsidRPr="003532DF">
        <w:t>Go to a Cajun restaurant in New Orleans, and you might be offered a slice of turducken: a fancy dish of chicken stuffed inside of a duck stuffed into a turkey. Now, paleontologists have their own version: the oldest modern bird skull ever found, which predates the split between the duck lineage and that of both chickens and turkeys—and so has traits of all three.</w:t>
      </w:r>
    </w:p>
    <w:p w:rsidR="00DB42FE" w:rsidRPr="003532DF" w:rsidRDefault="00DB42FE" w:rsidP="00616347">
      <w:pPr>
        <w:pStyle w:val="EndNoteBibliography"/>
        <w:ind w:left="360"/>
      </w:pPr>
      <w:r w:rsidRPr="003532DF">
        <w:t>“This is an incredibly informative specimen,” says Amy Balanoff, a paleontologist at Johns Hopkins University, Baltimore, who wasn't involved in the work. Whereas the earliest birds, like the 150-million-yearold Archaeopteryx, look very different from today's, the new fossil has clear characteristics of modern land and waterfowl, perhaps offering a glimpse of their common ancestor. Discovered near the Dutch town of Maastricht, in famous fossil beds that formed between 66.8 million and 66.7 million years ago, the turducken lived just before the mass extinction that killed off the dinosaurs. And because at least some of its descendants survived the cataclysm, “it gives us some clues about what characteristics were key in surviving that event,” Balanoff says.</w:t>
      </w:r>
    </w:p>
    <w:p w:rsidR="00DB42FE" w:rsidRPr="003532DF" w:rsidRDefault="00DB42FE" w:rsidP="00616347">
      <w:pPr>
        <w:pStyle w:val="EndNoteBibliography"/>
        <w:ind w:left="360"/>
      </w:pPr>
      <w:r w:rsidRPr="003532DF">
        <w:t>Luck and technology prompted the find, says Daniel Field, a paleontologist at the University of Cambridge, who led the work. John Jagt, a curator at the Maastricht Natural History Museum, had spotted “four very small blocks of rock with broken limb bones poking out” in the museum's collection, Field says. “It's hard to imagine a less exciting looking fossil.” Just the same, Field and his postdoctoral fellow Juan Benito put the rock into a computed tomography scanner, hoping the x-rays would reveal the structures inside. When they saw the scan, Field says, their shouts made the technician run back into the room. “She thought we had broken the machine.”</w:t>
      </w:r>
    </w:p>
    <w:p w:rsidR="00DB42FE" w:rsidRPr="003532DF" w:rsidRDefault="00DB42FE" w:rsidP="00616347">
      <w:pPr>
        <w:pStyle w:val="EndNoteBibliography"/>
        <w:ind w:left="360"/>
      </w:pPr>
      <w:r w:rsidRPr="003532DF">
        <w:t>The scan revealed a complete skull of what looked like a modern bird. The bones in the top and the back of the head closely resemble those of modern ducks, whereas the face and beak have unfused bones, as seen in today's chickens and turkeys. “You can play this game all day: ‘Oh, it's a duck! No, it's a chicken!’” Field says.</w:t>
      </w:r>
    </w:p>
    <w:p w:rsidR="00DB42FE" w:rsidRPr="003532DF" w:rsidRDefault="00DB42FE" w:rsidP="00616347">
      <w:pPr>
        <w:pStyle w:val="EndNoteBibliography"/>
        <w:ind w:left="360"/>
      </w:pPr>
      <w:r w:rsidRPr="003532DF">
        <w:t>Most of the bird's body is missing, but a piece of leg bone suggests it had long legs for its head size. Combined with the fact that the Maastricht deposits formed in a shallow sea, the fossil's proportions suggest it was a small shorebird, about the size of a modern seagull.</w:t>
      </w:r>
    </w:p>
    <w:p w:rsidR="00DB42FE" w:rsidRPr="003532DF" w:rsidRDefault="00DB42FE" w:rsidP="00616347">
      <w:pPr>
        <w:pStyle w:val="EndNoteBibliography"/>
        <w:ind w:left="360"/>
      </w:pPr>
      <w:r w:rsidRPr="003532DF">
        <w:t>In a Nature paper this week, Field and his colleagues named the bird Asteriornis maastrichtensis, for Asteria, the Greek goddess of falling stars who turns herself into a quail. The falling stars nod to the asteroid impact and extinction that struck not long after the bird lived. Some scientists had argued that modern birds evolved in the Southern Hemisphere, because the oldest modern bird fossils found until now came from Antarctica. But the new fossil is likely older than the Antarctic ones, arguing against that assumption.</w:t>
      </w:r>
    </w:p>
    <w:p w:rsidR="00DB42FE" w:rsidRPr="003532DF" w:rsidRDefault="00DB42FE" w:rsidP="00616347">
      <w:pPr>
        <w:pStyle w:val="EndNoteBibliography"/>
        <w:spacing w:after="0"/>
        <w:ind w:left="360"/>
      </w:pPr>
      <w:r w:rsidRPr="003532DF">
        <w:t xml:space="preserve">The ability to look inside the intact rock was crucial to the discovery, Field says. The skull is less than 1 millimeter away from the femur, so “if we had started chipping away, we would have destroyed </w:t>
      </w:r>
      <w:r w:rsidRPr="003532DF">
        <w:lastRenderedPageBreak/>
        <w:t>the skull.” So was the team's willingness to gamble on an unassuming rock, he adds. “We have to be more hopeful in our collecting.”</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Vormstein, S., Kaiser, M., Piepho, H.P., Ludwig, B., </w:t>
      </w:r>
      <w:r w:rsidR="00616347">
        <w:t xml:space="preserve">2020. </w:t>
      </w:r>
      <w:r w:rsidRPr="003532DF">
        <w:t>Aggregate formation and organo-mineral association affect characteristics of soil organic matter across soil horizons and parent materials in temperate broadleaf forest. Biogeochemistry 148, 169-189.</w:t>
      </w:r>
    </w:p>
    <w:p w:rsidR="00DB42FE" w:rsidRPr="003532DF" w:rsidRDefault="00DB42FE" w:rsidP="00616347">
      <w:pPr>
        <w:pStyle w:val="EndNoteBibliography"/>
        <w:ind w:left="360"/>
      </w:pPr>
      <w:r w:rsidRPr="003532DF">
        <w:t>https://doi.org/10.1007/s10533-020-00652-z</w:t>
      </w:r>
    </w:p>
    <w:p w:rsidR="00DB42FE" w:rsidRPr="003532DF" w:rsidRDefault="00DB42FE" w:rsidP="00616347">
      <w:pPr>
        <w:pStyle w:val="EndNoteBibliography"/>
        <w:spacing w:after="0"/>
        <w:ind w:left="360"/>
      </w:pPr>
      <w:r w:rsidRPr="003532DF">
        <w:t>Precise assessment of soil organic carbon (OC) storage requires understanding of soil type and depth specific differences in organic matter (OM) stabilization. Therefore, we aimed to analyze OC dynamics down the soil profile and to clarify the effect of depth on the importance of aggregate formation and mineral adsorption for OC storage in mature beech forest soils developed from different parent materials. Aggregate size and density fractions were separated from samples of top and subsoil horizons, which were quantified and analyzed by infrared spectroscopy. We also determined the microbial biomass C (C</w:t>
      </w:r>
      <w:r w:rsidRPr="003532DF">
        <w:rPr>
          <w:vertAlign w:val="subscript"/>
        </w:rPr>
        <w:t>mic</w:t>
      </w:r>
      <w:r w:rsidRPr="003532DF">
        <w:t>) and the amount of C decomposed within incubation experiments (CO</w:t>
      </w:r>
      <w:r w:rsidRPr="003532DF">
        <w:rPr>
          <w:vertAlign w:val="subscript"/>
        </w:rPr>
        <w:t>2</w:t>
      </w:r>
      <w:r w:rsidRPr="003532DF">
        <w:t>-C) for the bulk soil samples. OC stabilized via aggregate formation and mineral association significantly increased with soil depth. However, this stabilized pool seemed to fuel the labile OM stronger in the subsoil than in the topsoil because the CO</w:t>
      </w:r>
      <w:r w:rsidRPr="003532DF">
        <w:rPr>
          <w:vertAlign w:val="subscript"/>
        </w:rPr>
        <w:t>2</w:t>
      </w:r>
      <w:r w:rsidRPr="003532DF">
        <w:t>-C/SOC and CO</w:t>
      </w:r>
      <w:r w:rsidRPr="003532DF">
        <w:rPr>
          <w:vertAlign w:val="subscript"/>
        </w:rPr>
        <w:t>2</w:t>
      </w:r>
      <w:r w:rsidRPr="003532DF">
        <w:t>-C/C</w:t>
      </w:r>
      <w:r w:rsidRPr="003532DF">
        <w:rPr>
          <w:vertAlign w:val="subscript"/>
        </w:rPr>
        <w:t>mic</w:t>
      </w:r>
      <w:r w:rsidRPr="003532DF">
        <w:t xml:space="preserve"> ratios increased with depth. Measured differences in the magnitude of the detected stabilization and destabilization patterns were attributed to parent material and soil horizon, indicating pronounced spatial and vertical heterogeneity in the contribution of soils under temperate broadleaf forest to terrestrial C sequestration. Considering such site and depth specific differences will improve assessment and modelling of soil OC storage for areas covered with the same forest type but with high pedogenetic diversity.</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Walworth, N.G., Zakem, E.J., Dunne, J.P., Collins, S., Levine, N.M., </w:t>
      </w:r>
      <w:r w:rsidR="00616347">
        <w:t xml:space="preserve">2020. </w:t>
      </w:r>
      <w:r w:rsidRPr="003532DF">
        <w:t>Microbial evolutionary strategies in a dynamic ocean. Proceedings of the National Academy of Sciences 117, 5943-5948.</w:t>
      </w:r>
    </w:p>
    <w:p w:rsidR="00DB42FE" w:rsidRPr="003532DF" w:rsidRDefault="00DB42FE" w:rsidP="00616347">
      <w:pPr>
        <w:pStyle w:val="EndNoteBibliography"/>
        <w:ind w:left="360"/>
      </w:pPr>
      <w:r w:rsidRPr="003532DF">
        <w:t>https://doi.org/10.1073/pnas.1919332117</w:t>
      </w:r>
    </w:p>
    <w:p w:rsidR="00DB42FE" w:rsidRPr="003532DF" w:rsidRDefault="00DB42FE" w:rsidP="00616347">
      <w:pPr>
        <w:pStyle w:val="EndNoteBibliography"/>
        <w:ind w:left="360"/>
      </w:pPr>
      <w:r w:rsidRPr="003532DF">
        <w:t>Significance: Robust predictions of future changes in global biogeochemical cycling require an understanding of how microorganisms adapt to stressful and changing environments. In the ocean, rates of adaptation will be a function of both evolutionary timescales and physical dynamics. However, little is known about this interaction. We examined evolutionary dynamics of marine microbes by combining a model of microbial adaptation with varying selection pressures with a high-resolution ocean circulation model. A trade-off emerged between two evolutionary strategies: (</w:t>
      </w:r>
      <w:r w:rsidRPr="003532DF">
        <w:rPr>
          <w:i/>
        </w:rPr>
        <w:t>i</w:t>
      </w:r>
      <w:r w:rsidRPr="003532DF">
        <w:t>) ability to adapt plastically to short-term environmental fluctuations with delayed genetic adaptation and (</w:t>
      </w:r>
      <w:r w:rsidRPr="003532DF">
        <w:rPr>
          <w:i/>
        </w:rPr>
        <w:t>ii</w:t>
      </w:r>
      <w:r w:rsidRPr="003532DF">
        <w:t>) more rapid genetic adaptation with limited response to short-term environmental fluctuations. This trade-off determines evolutionary timescales and provides a foundation for understanding distributions of microbial traits and biogeochemistry.</w:t>
      </w:r>
    </w:p>
    <w:p w:rsidR="00DB42FE" w:rsidRPr="003532DF" w:rsidRDefault="00DB42FE" w:rsidP="00616347">
      <w:pPr>
        <w:pStyle w:val="EndNoteBibliography"/>
        <w:spacing w:after="0"/>
        <w:ind w:left="360"/>
      </w:pPr>
      <w:r w:rsidRPr="003532DF">
        <w:t xml:space="preserve">Abstract: Marine microbes form the base of ocean food webs and drive ocean biogeochemical cycling. Yet little is known about the ability of microbial populations to adapt as they are advected through changing conditions. Here, we investigated the interplay between physical and biological timescales using a model of adaptation and an eddy-resolving ocean circulation climate model. Two criteria were identified that relate the timing and nature of adaptation to the ratio of physical to biological timescales. Genetic adaptation was impeded in highly variable regimes by nongenetic </w:t>
      </w:r>
      <w:r w:rsidRPr="003532DF">
        <w:lastRenderedPageBreak/>
        <w:t>modifications but was promoted in more stable environments. An evolutionary trade-off emerged where greater short-term nongenetic transgenerational effects (low-γ strategy) enabled rapid responses to environmental fluctuations but delayed genetic adaptation, while fewer short-term transgenerational effects (high-γ strategy) allowed faster genetic adaptation but inhibited short-term responses. Our results demonstrate that the selective pressures for organisms within a single water mass vary based on differences in generation timescales resulting in different evolutionary strategies being favored. Organisms that experience more variable environments should favor a low-γ strategy. Furthermore, faster cell division rates should be a key factor in genetic adaptation in a changing ocean. Understanding and quantifying the relationship between evolutionary and physical timescales is critical for robust predictions of future microbial dynamics.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Wandel, A., Gale, J., </w:t>
      </w:r>
      <w:r w:rsidR="00616347">
        <w:t xml:space="preserve">2020. </w:t>
      </w:r>
      <w:r w:rsidRPr="003532DF">
        <w:t>The bio-habitable zone and atmospheric properties for planets of red dwarfs. International Journal of Astrobiology 19, 126-135.</w:t>
      </w:r>
    </w:p>
    <w:p w:rsidR="00DB42FE" w:rsidRPr="003532DF" w:rsidRDefault="00DB42FE" w:rsidP="00616347">
      <w:pPr>
        <w:pStyle w:val="EndNoteBibliography"/>
        <w:ind w:left="360"/>
      </w:pPr>
      <w:r w:rsidRPr="003532DF">
        <w:t>https://doi.org/10.1017/S1473550419000235</w:t>
      </w:r>
    </w:p>
    <w:p w:rsidR="00DB42FE" w:rsidRPr="003532DF" w:rsidRDefault="00DB42FE" w:rsidP="00616347">
      <w:pPr>
        <w:pStyle w:val="EndNoteBibliography"/>
        <w:spacing w:after="0"/>
        <w:ind w:left="360"/>
      </w:pPr>
      <w:r w:rsidRPr="003532DF">
        <w:t>The Kepler data show that habitable small planets orbiting Red Dwarf stars (RDs) are abundant, and hence might be promising targets to look at for biomarkers and life. Planets orbiting within the habitable zone of RDs are close enough to be tidally locked. Some recent works have cast doubt on the ability of planets orbiting RDs to support life. In contrast, it is shown that temperatures suitable for liquid water and even for organic molecules may exist on tidally locked planets (TLPs) of RDs for a wide range of atmospheres. We chart the surface temperature distribution as a function of the irradiation, greenhouse factor and heat circulation. The habitability boundaries and their dependence on the atmospheric properties are derived. By extending our previous analyses of TLPs, we find that tidally locked as well as synchronous (not completely locked) planets of RDs and K-type stars may support life, for a wider range of orbital distance and atmospheric conditions than previously thought. In particular, it is argued that life clement environments may be possible on tidally locked and synchronously orbiting planets of RDs and K-type stars, with conditions supporting oxygenic photosynthesis, which on Earth was a key to complex life. Different climate projections and the biological significance of tidal locking on putative complex life are reviewed. We show that when the effect of continuous radiation is taken into account, the photo-synthetically active radiation available on TLPs, even of RDs, could produce a high-potential plant productivity, in analogy to mid-summer growth at high latitudes on Earth. Awaiting the findings of TESS and JWST, we discuss the implications of the above arguments to the detection of biomarkers such as liquid water and oxygen, as well as to the abundance of biotic planets and life.</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Wang, H., Lun, Z., Lv, C., Lang, D., Luo, M., Zhao, Q., Zhao, C., </w:t>
      </w:r>
      <w:r w:rsidR="00616347">
        <w:t xml:space="preserve">2020. </w:t>
      </w:r>
      <w:r w:rsidRPr="003532DF">
        <w:t>Nuclear-magnetic-resonance study on oil mobilization in shale exposed to CO</w:t>
      </w:r>
      <w:r w:rsidRPr="003532DF">
        <w:rPr>
          <w:vertAlign w:val="subscript"/>
        </w:rPr>
        <w:t>2</w:t>
      </w:r>
      <w:r w:rsidRPr="003532DF">
        <w:t>. SPE Journal 25, 432-439.</w:t>
      </w:r>
    </w:p>
    <w:p w:rsidR="00DB42FE" w:rsidRPr="003532DF" w:rsidRDefault="00DB42FE" w:rsidP="00616347">
      <w:pPr>
        <w:pStyle w:val="EndNoteBibliography"/>
        <w:ind w:left="360"/>
      </w:pPr>
      <w:r w:rsidRPr="003532DF">
        <w:t>https://doi.org/10.2118/190185-PA</w:t>
      </w:r>
    </w:p>
    <w:p w:rsidR="00DB42FE" w:rsidRPr="003532DF" w:rsidRDefault="00DB42FE" w:rsidP="00616347">
      <w:pPr>
        <w:pStyle w:val="EndNoteBibliography"/>
        <w:ind w:left="360"/>
      </w:pPr>
      <w:r w:rsidRPr="003532DF">
        <w:t>Reservoirs in the Qian 3</w:t>
      </w:r>
      <w:r w:rsidRPr="003532DF">
        <w:rPr>
          <w:vertAlign w:val="superscript"/>
        </w:rPr>
        <w:t>4</w:t>
      </w:r>
      <w:r w:rsidRPr="003532DF">
        <w:t xml:space="preserve"> 10 rhythmic layer of the Qianjiang Basin are shale oil reservoirs with intersalt sediments. During the natural depletion and development process, production rate of oil decreases rapidly. Water injection and CO</w:t>
      </w:r>
      <w:r w:rsidRPr="003532DF">
        <w:rPr>
          <w:vertAlign w:val="subscript"/>
        </w:rPr>
        <w:t>2</w:t>
      </w:r>
      <w:r w:rsidRPr="003532DF">
        <w:t xml:space="preserve"> injection are potential technologies for enhanced oil recovery (EOR) in shale. Because of high salt content in formations, unsaturated water dissolves salt and damages reservoirs. CO</w:t>
      </w:r>
      <w:r w:rsidRPr="003532DF">
        <w:rPr>
          <w:vertAlign w:val="subscript"/>
        </w:rPr>
        <w:t>2</w:t>
      </w:r>
      <w:r w:rsidRPr="003532DF">
        <w:t xml:space="preserve"> does not react with salt, and CO</w:t>
      </w:r>
      <w:r w:rsidRPr="003532DF">
        <w:rPr>
          <w:vertAlign w:val="subscript"/>
        </w:rPr>
        <w:t>2</w:t>
      </w:r>
      <w:r w:rsidRPr="003532DF">
        <w:t xml:space="preserve"> injection does not damage reservoirs. Moreover, CO</w:t>
      </w:r>
      <w:r w:rsidRPr="003532DF">
        <w:rPr>
          <w:vertAlign w:val="subscript"/>
        </w:rPr>
        <w:t>2</w:t>
      </w:r>
      <w:r w:rsidRPr="003532DF">
        <w:t xml:space="preserve"> could enter the micropores of the reservoir rocks and mobilize oil by diffusion, </w:t>
      </w:r>
      <w:r w:rsidRPr="003532DF">
        <w:lastRenderedPageBreak/>
        <w:t>extraction, and swelling mechanisms. To verify oil mobilization in the shale exposed to CO</w:t>
      </w:r>
      <w:r w:rsidRPr="003532DF">
        <w:rPr>
          <w:vertAlign w:val="subscript"/>
        </w:rPr>
        <w:t>2</w:t>
      </w:r>
      <w:r w:rsidRPr="003532DF">
        <w:t>, exposure experiments based on nuclear magnetic resonance (NMR) were conducted in this study.</w:t>
      </w:r>
    </w:p>
    <w:p w:rsidR="00DB42FE" w:rsidRPr="003532DF" w:rsidRDefault="00DB42FE" w:rsidP="00616347">
      <w:pPr>
        <w:pStyle w:val="EndNoteBibliography"/>
        <w:ind w:left="360"/>
      </w:pPr>
      <w:r w:rsidRPr="003532DF">
        <w:t xml:space="preserve">NMR </w:t>
      </w:r>
      <w:r w:rsidRPr="003532DF">
        <w:rPr>
          <w:i/>
        </w:rPr>
        <w:t>T</w:t>
      </w:r>
      <w:r w:rsidRPr="003532DF">
        <w:rPr>
          <w:vertAlign w:val="subscript"/>
        </w:rPr>
        <w:t>2</w:t>
      </w:r>
      <w:r w:rsidRPr="003532DF">
        <w:t xml:space="preserve"> spectrum could reflect the oil in place and be used to calculate the oil content of rock with low permeability. In this study, 10 fresh shale samples (from six depths) were analyzed, and the oil contents were determined using NMR </w:t>
      </w:r>
      <w:r w:rsidRPr="003532DF">
        <w:rPr>
          <w:i/>
        </w:rPr>
        <w:t>T</w:t>
      </w:r>
      <w:r w:rsidRPr="003532DF">
        <w:rPr>
          <w:vertAlign w:val="subscript"/>
        </w:rPr>
        <w:t>2</w:t>
      </w:r>
      <w:r w:rsidRPr="003532DF">
        <w:t xml:space="preserve"> spectra. Two of the shale samples with high oil contents were selected for the CO</w:t>
      </w:r>
      <w:r w:rsidRPr="003532DF">
        <w:rPr>
          <w:vertAlign w:val="subscript"/>
        </w:rPr>
        <w:t>2</w:t>
      </w:r>
      <w:r w:rsidRPr="003532DF">
        <w:t>-exposure experiment. At a temperature of 40°C and a pressure of 17.5 MPa, the fresh shale samples were exposed to CO</w:t>
      </w:r>
      <w:r w:rsidRPr="003532DF">
        <w:rPr>
          <w:vertAlign w:val="subscript"/>
        </w:rPr>
        <w:t>2</w:t>
      </w:r>
      <w:r w:rsidRPr="003532DF">
        <w:t xml:space="preserve">, and the NMR </w:t>
      </w:r>
      <w:r w:rsidRPr="003532DF">
        <w:rPr>
          <w:i/>
        </w:rPr>
        <w:t>T</w:t>
      </w:r>
      <w:r w:rsidRPr="003532DF">
        <w:rPr>
          <w:vertAlign w:val="subscript"/>
        </w:rPr>
        <w:t>2</w:t>
      </w:r>
      <w:r w:rsidRPr="003532DF">
        <w:t xml:space="preserve"> spectra obtained were used to continuously determine the oil content of the shale. The oil mobilization in the shale exposed to CO</w:t>
      </w:r>
      <w:r w:rsidRPr="003532DF">
        <w:rPr>
          <w:vertAlign w:val="subscript"/>
        </w:rPr>
        <w:t>2</w:t>
      </w:r>
      <w:r w:rsidRPr="003532DF">
        <w:t xml:space="preserve"> was determined.</w:t>
      </w:r>
    </w:p>
    <w:p w:rsidR="00DB42FE" w:rsidRPr="003532DF" w:rsidRDefault="00DB42FE" w:rsidP="00616347">
      <w:pPr>
        <w:pStyle w:val="EndNoteBibliography"/>
        <w:ind w:left="360"/>
      </w:pPr>
      <w:r w:rsidRPr="003532DF">
        <w:t xml:space="preserve">The results of the NMR </w:t>
      </w:r>
      <w:r w:rsidRPr="003532DF">
        <w:rPr>
          <w:i/>
        </w:rPr>
        <w:t>T</w:t>
      </w:r>
      <w:r w:rsidRPr="003532DF">
        <w:rPr>
          <w:vertAlign w:val="subscript"/>
        </w:rPr>
        <w:t>2</w:t>
      </w:r>
      <w:r w:rsidRPr="003532DF">
        <w:t xml:space="preserve"> spectra showed that the NMR volume fractions of the remaining oil in seven fresh shale samples were above 10%. The recovery of the S5# shale exposed to CO</w:t>
      </w:r>
      <w:r w:rsidRPr="003532DF">
        <w:rPr>
          <w:vertAlign w:val="subscript"/>
        </w:rPr>
        <w:t>2</w:t>
      </w:r>
      <w:r w:rsidRPr="003532DF">
        <w:t xml:space="preserve"> was 51.2% after 8 days, whereas that of the S9# shale was 55.8% after 6.1 days. These results indicated that more than half of the shale oil was mobilized during the relatively long exposure time after CO</w:t>
      </w:r>
      <w:r w:rsidRPr="003532DF">
        <w:rPr>
          <w:vertAlign w:val="subscript"/>
        </w:rPr>
        <w:t>2</w:t>
      </w:r>
      <w:r w:rsidRPr="003532DF">
        <w:t xml:space="preserve"> injection. NMR </w:t>
      </w:r>
      <w:r w:rsidRPr="003532DF">
        <w:rPr>
          <w:i/>
        </w:rPr>
        <w:t>T</w:t>
      </w:r>
      <w:r w:rsidRPr="003532DF">
        <w:rPr>
          <w:vertAlign w:val="subscript"/>
        </w:rPr>
        <w:t>2</w:t>
      </w:r>
      <w:r w:rsidRPr="003532DF">
        <w:t xml:space="preserve"> spectroscopy results also showed that oil in all pores could be mobilized as the exposure time increased.</w:t>
      </w:r>
    </w:p>
    <w:p w:rsidR="00DB42FE" w:rsidRPr="003532DF" w:rsidRDefault="00DB42FE" w:rsidP="00616347">
      <w:pPr>
        <w:pStyle w:val="EndNoteBibliography"/>
        <w:spacing w:after="0"/>
        <w:ind w:left="360"/>
      </w:pPr>
      <w:r w:rsidRPr="003532DF">
        <w:t>This study showed the quantitative results of the CO</w:t>
      </w:r>
      <w:r w:rsidRPr="003532DF">
        <w:rPr>
          <w:vertAlign w:val="subscript"/>
        </w:rPr>
        <w:t>2</w:t>
      </w:r>
      <w:r w:rsidRPr="003532DF">
        <w:t>-injection method and EOR in a shale oil reservoir of the Qianjiang Basin. All conclusions support starting a CO</w:t>
      </w:r>
      <w:r w:rsidRPr="003532DF">
        <w:rPr>
          <w:vertAlign w:val="subscript"/>
        </w:rPr>
        <w:t>2</w:t>
      </w:r>
      <w:r w:rsidRPr="003532DF">
        <w:t>-EOR pilot project in the shale oil reservoir with intersalt sediments with ultralow permeability.</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Wang, J.-W., Cai, M., Nie, Y., Hu, B., Yang, Y., Wu, X.-L., </w:t>
      </w:r>
      <w:r w:rsidR="00616347">
        <w:t xml:space="preserve">2020. </w:t>
      </w:r>
      <w:r w:rsidRPr="003532DF">
        <w:rPr>
          <w:i/>
        </w:rPr>
        <w:t xml:space="preserve">Pseudomonas jilinensis </w:t>
      </w:r>
      <w:r w:rsidRPr="003532DF">
        <w:t>sp. nov., isolated from oil production water of Jilin oilfield in China. Current Microbiology 77, 688-694.</w:t>
      </w:r>
    </w:p>
    <w:p w:rsidR="00DB42FE" w:rsidRPr="003532DF" w:rsidRDefault="00DB42FE" w:rsidP="00616347">
      <w:pPr>
        <w:pStyle w:val="EndNoteBibliography"/>
        <w:ind w:left="360"/>
      </w:pPr>
      <w:r w:rsidRPr="003532DF">
        <w:t>https://doi.org/10.1007/s00284-019-01798-2</w:t>
      </w:r>
    </w:p>
    <w:p w:rsidR="00DB42FE" w:rsidRPr="003532DF" w:rsidRDefault="00DB42FE" w:rsidP="00616347">
      <w:pPr>
        <w:pStyle w:val="EndNoteBibliography"/>
        <w:spacing w:after="0"/>
        <w:ind w:left="360"/>
      </w:pPr>
      <w:r w:rsidRPr="003532DF">
        <w:t>A Gram-stain-negative, rod-shaped bacterial strain JS15-10A1</w:t>
      </w:r>
      <w:r w:rsidRPr="003532DF">
        <w:rPr>
          <w:vertAlign w:val="superscript"/>
        </w:rPr>
        <w:t>T</w:t>
      </w:r>
      <w:r w:rsidRPr="003532DF">
        <w:t xml:space="preserve"> was isolated from oil production water. Its optimum growth was observed at 37 °C, pH 7.0, and 3% (w/v) NaCl. The 16S rRNA gene sequence of strain JS15-10A1</w:t>
      </w:r>
      <w:r w:rsidRPr="003532DF">
        <w:rPr>
          <w:vertAlign w:val="superscript"/>
        </w:rPr>
        <w:t>T</w:t>
      </w:r>
      <w:r w:rsidRPr="003532DF">
        <w:t xml:space="preserve"> showed the highest similarities with </w:t>
      </w:r>
      <w:r w:rsidRPr="003532DF">
        <w:rPr>
          <w:i/>
        </w:rPr>
        <w:t>Pseudomonas parafulva</w:t>
      </w:r>
      <w:r w:rsidRPr="003532DF">
        <w:t xml:space="preserve"> CB-1</w:t>
      </w:r>
      <w:r w:rsidRPr="003532DF">
        <w:rPr>
          <w:vertAlign w:val="superscript"/>
        </w:rPr>
        <w:t>T</w:t>
      </w:r>
      <w:r w:rsidRPr="003532DF">
        <w:t xml:space="preserve"> (97.6%) and </w:t>
      </w:r>
      <w:r w:rsidRPr="003532DF">
        <w:rPr>
          <w:i/>
        </w:rPr>
        <w:t>P. fulva</w:t>
      </w:r>
      <w:r w:rsidRPr="003532DF">
        <w:t xml:space="preserve"> IAM 1529</w:t>
      </w:r>
      <w:r w:rsidRPr="003532DF">
        <w:rPr>
          <w:vertAlign w:val="superscript"/>
        </w:rPr>
        <w:t>T</w:t>
      </w:r>
      <w:r w:rsidRPr="003532DF">
        <w:t xml:space="preserve"> (97.5%). In addition, phylogenetic analyses based on multilocus sequence analyses with concatenating 16S rRNA, </w:t>
      </w:r>
      <w:r w:rsidRPr="003532DF">
        <w:rPr>
          <w:i/>
        </w:rPr>
        <w:t>gyrB</w:t>
      </w:r>
      <w:r w:rsidRPr="003532DF">
        <w:t xml:space="preserve">, </w:t>
      </w:r>
      <w:r w:rsidRPr="003532DF">
        <w:rPr>
          <w:i/>
        </w:rPr>
        <w:t>rpoD</w:t>
      </w:r>
      <w:r w:rsidRPr="003532DF">
        <w:t xml:space="preserve">, and </w:t>
      </w:r>
      <w:r w:rsidRPr="003532DF">
        <w:rPr>
          <w:i/>
        </w:rPr>
        <w:t>rpoB</w:t>
      </w:r>
      <w:r w:rsidRPr="003532DF">
        <w:t xml:space="preserve"> genes indicated that strain JS15-10A1</w:t>
      </w:r>
      <w:r w:rsidRPr="003532DF">
        <w:rPr>
          <w:vertAlign w:val="superscript"/>
        </w:rPr>
        <w:t>T</w:t>
      </w:r>
      <w:r w:rsidRPr="003532DF">
        <w:t xml:space="preserve"> was a member of genus </w:t>
      </w:r>
      <w:r w:rsidRPr="003532DF">
        <w:rPr>
          <w:i/>
        </w:rPr>
        <w:t>Pseudomonas</w:t>
      </w:r>
      <w:r w:rsidRPr="003532DF">
        <w:t xml:space="preserve"> but discriminated from other species. Furthermore, whole-genome analyses revealed that average nucleotide identities and in silico DNA-DNA hybridization values of strain JS15-10A1</w:t>
      </w:r>
      <w:r w:rsidRPr="003532DF">
        <w:rPr>
          <w:vertAlign w:val="superscript"/>
        </w:rPr>
        <w:t>T</w:t>
      </w:r>
      <w:r w:rsidRPr="003532DF">
        <w:t xml:space="preserve"> against its closest relatives were all below 76.7% and 21.1%, respectively. The major cellular fatty acids of strain JS15-10A1</w:t>
      </w:r>
      <w:r w:rsidRPr="003532DF">
        <w:rPr>
          <w:vertAlign w:val="superscript"/>
        </w:rPr>
        <w:t>T</w:t>
      </w:r>
      <w:r w:rsidRPr="003532DF">
        <w:t xml:space="preserve"> were summed feature 8 (C</w:t>
      </w:r>
      <w:r w:rsidRPr="003532DF">
        <w:rPr>
          <w:vertAlign w:val="subscript"/>
        </w:rPr>
        <w:t>18:1</w:t>
      </w:r>
      <w:r w:rsidRPr="003532DF">
        <w:rPr>
          <w:i/>
        </w:rPr>
        <w:t>ω7c</w:t>
      </w:r>
      <w:r w:rsidRPr="003532DF">
        <w:t>/C</w:t>
      </w:r>
      <w:r w:rsidRPr="003532DF">
        <w:rPr>
          <w:vertAlign w:val="subscript"/>
        </w:rPr>
        <w:t>18:1</w:t>
      </w:r>
      <w:r w:rsidRPr="003532DF">
        <w:rPr>
          <w:i/>
        </w:rPr>
        <w:t>ω6c</w:t>
      </w:r>
      <w:r w:rsidRPr="003532DF">
        <w:t>), C</w:t>
      </w:r>
      <w:r w:rsidRPr="003532DF">
        <w:rPr>
          <w:vertAlign w:val="subscript"/>
        </w:rPr>
        <w:t>16:0</w:t>
      </w:r>
      <w:r w:rsidRPr="003532DF">
        <w:t>, C</w:t>
      </w:r>
      <w:r w:rsidRPr="003532DF">
        <w:rPr>
          <w:vertAlign w:val="subscript"/>
        </w:rPr>
        <w:t>12:0</w:t>
      </w:r>
      <w:r w:rsidRPr="003532DF">
        <w:t>, C</w:t>
      </w:r>
      <w:r w:rsidRPr="003532DF">
        <w:rPr>
          <w:vertAlign w:val="subscript"/>
        </w:rPr>
        <w:t>17:0</w:t>
      </w:r>
      <w:r w:rsidRPr="003532DF">
        <w:t xml:space="preserve"> cyclo, summed feature 3 (C</w:t>
      </w:r>
      <w:r w:rsidRPr="003532DF">
        <w:rPr>
          <w:vertAlign w:val="subscript"/>
        </w:rPr>
        <w:t>16:1</w:t>
      </w:r>
      <w:r w:rsidRPr="003532DF">
        <w:rPr>
          <w:i/>
        </w:rPr>
        <w:t>ω7c</w:t>
      </w:r>
      <w:r w:rsidRPr="003532DF">
        <w:t>/C</w:t>
      </w:r>
      <w:r w:rsidRPr="003532DF">
        <w:rPr>
          <w:vertAlign w:val="subscript"/>
        </w:rPr>
        <w:t>16:1</w:t>
      </w:r>
      <w:r w:rsidRPr="003532DF">
        <w:rPr>
          <w:i/>
        </w:rPr>
        <w:t>ω6c</w:t>
      </w:r>
      <w:r w:rsidRPr="003532DF">
        <w:t>), C</w:t>
      </w:r>
      <w:r w:rsidRPr="003532DF">
        <w:rPr>
          <w:vertAlign w:val="subscript"/>
        </w:rPr>
        <w:t>12:0</w:t>
      </w:r>
      <w:r w:rsidRPr="003532DF">
        <w:t xml:space="preserve"> 3-OH, C</w:t>
      </w:r>
      <w:r w:rsidRPr="003532DF">
        <w:rPr>
          <w:vertAlign w:val="subscript"/>
        </w:rPr>
        <w:t>10:0</w:t>
      </w:r>
      <w:r w:rsidRPr="003532DF">
        <w:t xml:space="preserve"> 3-OH, and C</w:t>
      </w:r>
      <w:r w:rsidRPr="003532DF">
        <w:rPr>
          <w:vertAlign w:val="subscript"/>
        </w:rPr>
        <w:t>19:0</w:t>
      </w:r>
      <w:r w:rsidRPr="003532DF">
        <w:t xml:space="preserve"> cyclo </w:t>
      </w:r>
      <w:r w:rsidRPr="003532DF">
        <w:rPr>
          <w:i/>
        </w:rPr>
        <w:t>ω8c</w:t>
      </w:r>
      <w:r w:rsidRPr="003532DF">
        <w:t>. The predominant quinone was ubiquinone Q-9. The polar lipids were diphosphatidylglycerol, phosphatidylglycerol, phosphatidylethanolamine, an unknown amino-lipid, and two unidentified lipids. The genome DNA G + C content was 60.0 mol%. On the basis of phylogenetic, phenotypic, physiological, and chemotaxonomic analyses, it can be concluded that strain JS15-10A1</w:t>
      </w:r>
      <w:r w:rsidRPr="003532DF">
        <w:rPr>
          <w:vertAlign w:val="superscript"/>
        </w:rPr>
        <w:t>T</w:t>
      </w:r>
      <w:r w:rsidRPr="003532DF">
        <w:t xml:space="preserve"> represents a novel species in genus </w:t>
      </w:r>
      <w:r w:rsidRPr="003532DF">
        <w:rPr>
          <w:i/>
        </w:rPr>
        <w:t>Pseudomonas,</w:t>
      </w:r>
      <w:r w:rsidRPr="003532DF">
        <w:t xml:space="preserve"> for which the name </w:t>
      </w:r>
      <w:r w:rsidRPr="003532DF">
        <w:rPr>
          <w:i/>
        </w:rPr>
        <w:t>Pseudomona</w:t>
      </w:r>
      <w:r w:rsidRPr="003532DF">
        <w:rPr>
          <w:b/>
          <w:i/>
        </w:rPr>
        <w:t>s</w:t>
      </w:r>
      <w:r w:rsidRPr="003532DF">
        <w:rPr>
          <w:i/>
        </w:rPr>
        <w:t xml:space="preserve"> jilinensis</w:t>
      </w:r>
      <w:r w:rsidRPr="003532DF">
        <w:t xml:space="preserve"> sp. nov. is proposed. The type strain is JS15-10A1</w:t>
      </w:r>
      <w:r w:rsidRPr="003532DF">
        <w:rPr>
          <w:vertAlign w:val="superscript"/>
        </w:rPr>
        <w:t>T</w:t>
      </w:r>
      <w:r w:rsidRPr="003532DF">
        <w:t xml:space="preserve"> (= CGMCC 1.16072</w:t>
      </w:r>
      <w:r w:rsidRPr="003532DF">
        <w:rPr>
          <w:vertAlign w:val="superscript"/>
        </w:rPr>
        <w:t>T</w:t>
      </w:r>
      <w:r w:rsidRPr="003532DF">
        <w:t> = LMG 30036</w:t>
      </w:r>
      <w:r w:rsidRPr="003532DF">
        <w:rPr>
          <w:vertAlign w:val="superscript"/>
        </w:rPr>
        <w:t>T</w:t>
      </w:r>
      <w:r w:rsidRPr="003532DF">
        <w:t>).</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Wang, L., Tian, Y., Zhao, J., </w:t>
      </w:r>
      <w:r w:rsidR="00616347">
        <w:t xml:space="preserve">2020. </w:t>
      </w:r>
      <w:r w:rsidRPr="003532DF">
        <w:t>A rapid hydroclimate change and its influence on the Songliao Basin during the Santonian-Campanian transition as recorded by compound-specific isotopes. Palaeogeography, Palaeoclimatology, Palaeoecology 546, 109674.</w:t>
      </w:r>
    </w:p>
    <w:p w:rsidR="00DB42FE" w:rsidRPr="003532DF" w:rsidRDefault="00DB42FE" w:rsidP="00616347">
      <w:pPr>
        <w:pStyle w:val="EndNoteBibliography"/>
        <w:ind w:left="360"/>
      </w:pPr>
      <w:r w:rsidRPr="003532DF">
        <w:lastRenderedPageBreak/>
        <w:t>http://www.sciencedirect.com/science/article/pii/S003101822030119X</w:t>
      </w:r>
    </w:p>
    <w:p w:rsidR="00DB42FE" w:rsidRPr="003532DF" w:rsidRDefault="00DB42FE" w:rsidP="00616347">
      <w:pPr>
        <w:pStyle w:val="EndNoteBibliography"/>
        <w:spacing w:after="0"/>
        <w:ind w:left="360"/>
      </w:pPr>
      <w:r w:rsidRPr="003532DF">
        <w:t xml:space="preserve">Reconstruction of the paleoclimate and paleoenvironment of the Songliao Basin has important theoretical and practical significance to reveal the regional continental climate characteristics and continental organic matter accumulation under the Cretaceous greenhouse climate conditions. Here, we report the composition of biomarkers and the stable carbon and hydrogen isotope compositions of </w:t>
      </w:r>
      <w:r w:rsidRPr="003532DF">
        <w:rPr>
          <w:i/>
        </w:rPr>
        <w:t>n</w:t>
      </w:r>
      <w:r w:rsidRPr="003532DF">
        <w:t xml:space="preserve">-alkanes from Nenjiang Formation sediments in the Songliao Basin, which provide information on the source of organisms, paleoenvironmental conditions, and paleoclimate changes during the Late Cretaceous. Our hydrogen isotope records of </w:t>
      </w:r>
      <w:r w:rsidRPr="003532DF">
        <w:rPr>
          <w:i/>
        </w:rPr>
        <w:t>n</w:t>
      </w:r>
      <w:r w:rsidRPr="003532DF">
        <w:t>-alkanes displayed a significantly negative shift, indicating that a dramatically wet climate occurred during the Santonian-Campanian transition. A wet climate, such as that during a prolonged rainfall event, had a significant impact on the lake and resulted in the lake level increasing and the salinity decreasing in the surface water during this period. However, the freshwater input increased the salinity difference between the upper and lower water layers, which caused stable water stratification to occur in the lake. In addition, the high total organic carbon (TOC) content indicates high primary productivity because of increased precipitation carrying more terrigenous nutrients into the lake, which resulted in eutrophication during this period. Notably, the increased aryl isoprenoid ratios and the occurrence of isorenieratane indicates that photic zone euxinia (PZE) was enhanced during the Santonian-Campanian transition, which was possibly due to the dramatic change in the hydroclimate. We speculate that the large freshwater input promoted the formation of PZE in the lake. Then, PZE restricted the habitat available for aerobic organisms, which had fatal effects on the lake ecosystem.</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Wang, M., Yang, H., Zheng, Z., Tian, L., </w:t>
      </w:r>
      <w:r w:rsidR="00616347">
        <w:t xml:space="preserve">2020. </w:t>
      </w:r>
      <w:r w:rsidRPr="003532DF">
        <w:t>Altitudinal climatic index changes in subtropical China indicated from branched glycerol dialkyl glycerol tetraethers proxies. Chemical Geology 541, 119579.</w:t>
      </w:r>
    </w:p>
    <w:p w:rsidR="00DB42FE" w:rsidRPr="003532DF" w:rsidRDefault="00DB42FE" w:rsidP="00616347">
      <w:pPr>
        <w:pStyle w:val="EndNoteBibliography"/>
        <w:ind w:left="360"/>
      </w:pPr>
      <w:r w:rsidRPr="003532DF">
        <w:t>http://www.sciencedirect.com/science/article/pii/S0009254120301182</w:t>
      </w:r>
    </w:p>
    <w:p w:rsidR="00DB42FE" w:rsidRPr="003532DF" w:rsidRDefault="00DB42FE" w:rsidP="00616347">
      <w:pPr>
        <w:pStyle w:val="EndNoteBibliography"/>
        <w:spacing w:after="0"/>
        <w:ind w:left="360"/>
      </w:pPr>
      <w:r w:rsidRPr="003532DF">
        <w:t>Branched glycerol dialkyl glycerol tetraethers (brGDGTs) have been widely applied in climate parameter reconstructions over the past few years. MBT′</w:t>
      </w:r>
      <w:r w:rsidRPr="003532DF">
        <w:rPr>
          <w:vertAlign w:val="subscript"/>
        </w:rPr>
        <w:t>5ME</w:t>
      </w:r>
      <w:r w:rsidRPr="003532DF">
        <w:t xml:space="preserve"> (the methylation of branched tetraethers based on the 5-methyl isomers) and CBT′ (cyclisation of branched tetraethers that includes 6-methyl brGDGTs in the numerator) have proven to be useful brGDGT proxies for interpreting the mean annual air temperature (MAT) and soil pH of different climate condition areas in China. However, the application of MBT′</w:t>
      </w:r>
      <w:r w:rsidRPr="003532DF">
        <w:rPr>
          <w:vertAlign w:val="subscript"/>
        </w:rPr>
        <w:t>5ME</w:t>
      </w:r>
      <w:r w:rsidRPr="003532DF">
        <w:t xml:space="preserve"> and CBT′ for indicating altitudinal climate conditions is still open to discussion, e.g., the lack of comparisons between attitudinal results from mountain areas of different climate conditions. In this study, we compared soil brGDGT along three mountain transects in subtropical China, i.e., Mt. Gaoligong, Mt. Fanjing and Mt. Shennongjia. The brGDGT distributions of Mt. Gaoligong and Mt. Fanjing were similar to the subtropical surface soil brGDGT distribution pattern, featured by the dominance of chemical structures of brGDGTs Ia and IIa. However, Mt. Shennongjia was characterised by increasing brGDGTs IIIa′, IIa′, IIb′ and Ib, much like the semi-humid/humid temperate climate area brGDGT distribution pattern. These results indicate that altitudinal climate indicators such as temperature and precipitation could be recorded by varied brGDGT distributions. Also, MBT′</w:t>
      </w:r>
      <w:r w:rsidRPr="003532DF">
        <w:rPr>
          <w:vertAlign w:val="subscript"/>
        </w:rPr>
        <w:t>5ME</w:t>
      </w:r>
      <w:r w:rsidRPr="003532DF">
        <w:t>-inferred MATs were negatively correlated with mountain altitude (R</w:t>
      </w:r>
      <w:r w:rsidRPr="003532DF">
        <w:rPr>
          <w:vertAlign w:val="superscript"/>
        </w:rPr>
        <w:t>2</w:t>
      </w:r>
      <w:r w:rsidRPr="003532DF">
        <w:t>: 0.79–0.87). The MAT lapse rate increased from Mt. Shennongjia to Mt. Fanjing to Mt. Gaoligong (0.5 °C/100 m, 0.9 °C/100 m and 1.3 °C/100 m, respectively). The influence of the Qinghai Tibetan Plateau ice cover and differences in latitudinal temperature and/or moisture conditions might be the reasons for the various lapse rates. The soil pH was less correlated with altitude (R</w:t>
      </w:r>
      <w:r w:rsidRPr="003532DF">
        <w:rPr>
          <w:vertAlign w:val="superscript"/>
        </w:rPr>
        <w:t>2</w:t>
      </w:r>
      <w:r w:rsidRPr="003532DF">
        <w:t xml:space="preserve">: 0.58–0.63) than to the regression of MAT and altitude, showing slightly different relations from </w:t>
      </w:r>
      <w:r w:rsidRPr="003532DF">
        <w:lastRenderedPageBreak/>
        <w:t>those of horizontal studies. At Mt. Gaoligong and Mt. Fanjing, soil pH and altitude demonstrated positive linear regressions but with different slopes. The different reducing rate of soil pH as a function of altitude for the two mountains is probably caused by their dominating summer monsoons. For Mt. Shennongjia where the climate condition is less humid than Mt. Gaoligong and Mt. Fanjing, the soil pH did not significantly change with altitude, and thus no relationship was observed. This might probably be partially induced by the weakly alkaline parent rocks of Mt. Shennongjia.</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Wang, X., Hou, J., Li, S., Dou, L., Song, S., Kang, Q., Wang, D., </w:t>
      </w:r>
      <w:r w:rsidR="00616347">
        <w:t xml:space="preserve">2020. </w:t>
      </w:r>
      <w:r w:rsidRPr="003532DF">
        <w:t>Insight into the nanoscale pore structure of organic-rich shales in the Bakken Formation, USA. Journal of Petroleum Science and Engineering 191, 107182.</w:t>
      </w:r>
    </w:p>
    <w:p w:rsidR="00DB42FE" w:rsidRPr="003532DF" w:rsidRDefault="00DB42FE" w:rsidP="00616347">
      <w:pPr>
        <w:pStyle w:val="EndNoteBibliography"/>
        <w:ind w:left="360"/>
      </w:pPr>
      <w:r w:rsidRPr="003532DF">
        <w:t>http://www.sciencedirect.com/science/article/pii/S0920410520302692</w:t>
      </w:r>
    </w:p>
    <w:p w:rsidR="00DB42FE" w:rsidRPr="003532DF" w:rsidRDefault="00DB42FE" w:rsidP="00616347">
      <w:pPr>
        <w:pStyle w:val="EndNoteBibliography"/>
        <w:spacing w:after="0"/>
        <w:ind w:left="360"/>
      </w:pPr>
      <w:r w:rsidRPr="003532DF">
        <w:t>The Bakken Shale has attracted much attention because of its huge potential for shale oil. To characterize the nanoscale pore structure of the Bakken shale, ten samples were selected from the upper/lower Bakken Shale for N</w:t>
      </w:r>
      <w:r w:rsidRPr="003532DF">
        <w:rPr>
          <w:vertAlign w:val="subscript"/>
        </w:rPr>
        <w:t>2</w:t>
      </w:r>
      <w:r w:rsidRPr="003532DF">
        <w:t xml:space="preserve"> and CO</w:t>
      </w:r>
      <w:r w:rsidRPr="003532DF">
        <w:rPr>
          <w:vertAlign w:val="subscript"/>
        </w:rPr>
        <w:t>2</w:t>
      </w:r>
      <w:r w:rsidRPr="003532DF">
        <w:t xml:space="preserve"> adsorption, which can provide the pore structure parameters, such as pore size, specific surface area (SSA) and pore volume. The controlling factors of the pore structure were studied through the analysis of the mineral composition, total organic carbon (TOC) content, and thermal maturity (VRo-eq). Also, we investigated the fractal characteristics of samples based upon N</w:t>
      </w:r>
      <w:r w:rsidRPr="003532DF">
        <w:rPr>
          <w:vertAlign w:val="subscript"/>
        </w:rPr>
        <w:t>2</w:t>
      </w:r>
      <w:r w:rsidRPr="003532DF">
        <w:t xml:space="preserve"> adsorption. The results exhibited that the composition of the Bakken shale was mainly quartz and clay; the content of clay minerals varies between 24.07% and 53.92%; the content of quartz is between 38.04% and 63.59%. The average value of TOC content of the Bakken shale was 11.49 wt% and the vitrinite equivalent reflectance varied between 0.62 and 1.11%. Micropores (&lt;2 nm) and mesopores (2–50 nm) are the dominant pores in the Bakken shale samples. Quartz, clay and TOC are the key factors controlling the pore structure of Bakken shale. The fractal dimensions D</w:t>
      </w:r>
      <w:r w:rsidRPr="003532DF">
        <w:rPr>
          <w:vertAlign w:val="subscript"/>
        </w:rPr>
        <w:t>1</w:t>
      </w:r>
      <w:r w:rsidRPr="003532DF">
        <w:t xml:space="preserve"> ranged from 2.606 to 2.896 and D</w:t>
      </w:r>
      <w:r w:rsidRPr="003532DF">
        <w:rPr>
          <w:vertAlign w:val="subscript"/>
        </w:rPr>
        <w:t>2</w:t>
      </w:r>
      <w:r w:rsidRPr="003532DF">
        <w:t xml:space="preserve"> ranged from 2.243 to 2.296. D</w:t>
      </w:r>
      <w:r w:rsidRPr="003532DF">
        <w:rPr>
          <w:vertAlign w:val="subscript"/>
        </w:rPr>
        <w:t>1</w:t>
      </w:r>
      <w:r w:rsidRPr="003532DF">
        <w:t xml:space="preserve"> shows a strong positive correlation with D</w:t>
      </w:r>
      <w:r w:rsidRPr="003532DF">
        <w:rPr>
          <w:vertAlign w:val="subscript"/>
        </w:rPr>
        <w:t>2</w:t>
      </w:r>
      <w:r w:rsidRPr="003532DF">
        <w:t>, with an R</w:t>
      </w:r>
      <w:r w:rsidRPr="003532DF">
        <w:rPr>
          <w:vertAlign w:val="superscript"/>
        </w:rPr>
        <w:t>2</w:t>
      </w:r>
      <w:r w:rsidRPr="003532DF">
        <w:t xml:space="preserve"> value of 0.8. Higher clay and TOC content lead to more complex pore systems in the Bakken shales. Smaller pore size leads to larger fractal dimensions; hence, the larger the SSA is, the larger fractal dimensions are.</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Wang, X., Jin, Z., Zhao, J., Zhu, Y., Hu, Z., Liu, G., Jiang, T., Wang, H., Li, S., Shi, S., </w:t>
      </w:r>
      <w:r w:rsidR="00616347">
        <w:t xml:space="preserve">2020. </w:t>
      </w:r>
      <w:r w:rsidRPr="003532DF">
        <w:t>Depositional environment and organic matter accumulation of Lower Jurassic nonmarine fine-grained deposits in the Yuanba Area, Sichuan Basin, SW China. Marine and Petroleum Geology 116, 104352.</w:t>
      </w:r>
    </w:p>
    <w:p w:rsidR="00DB42FE" w:rsidRPr="003532DF" w:rsidRDefault="00DB42FE" w:rsidP="00616347">
      <w:pPr>
        <w:pStyle w:val="EndNoteBibliography"/>
        <w:ind w:left="360"/>
      </w:pPr>
      <w:r w:rsidRPr="003532DF">
        <w:t>http://www.sciencedirect.com/science/article/pii/S0264817220301355</w:t>
      </w:r>
    </w:p>
    <w:p w:rsidR="00DB42FE" w:rsidRPr="003532DF" w:rsidRDefault="00DB42FE" w:rsidP="00616347">
      <w:pPr>
        <w:pStyle w:val="EndNoteBibliography"/>
        <w:spacing w:after="0"/>
        <w:ind w:left="360"/>
      </w:pPr>
      <w:r w:rsidRPr="003532DF">
        <w:t xml:space="preserve">This study investigated the lithological, sedimentological and geochemical characteristics of Lower Jurassic strata (Ziliujing Formation) in the Sichuan Basin to identify the lithofacies and understand the depositional environments and differences in organic matter accumulation of these nonmarine fine-grained sediments. Based on mineralogy and petrology, rock types were recognized, with mudstones, siltstones, and limestones being the most common. Rock types, sedimentary structures, biota, and well log data were used to define and characterize 17 lithofacies and the following five facies associations of the fine-grained sediments: (1) delta front; (2) clastic lakeshore; (3) clastic shallow lake; (4) clastic semi-deep lake; and (5) carbonate lake. The content of total organic carbon ranges between 0.04% and 3.84%, with an average of 0.74%. The organic matter primarily consists of Type III kerogen. Major processes inferred from the lithofacies analyses include suspension, </w:t>
      </w:r>
      <w:r w:rsidRPr="003532DF">
        <w:lastRenderedPageBreak/>
        <w:t>biogenic, and storm deposition. On the basis of facies associations, redox, climate and salinity conditions, biotic productivity, and terrigenous input, a total of six depositional environments are proposed: (I) high-productivity low-oxygen swamp (II) low-oxygen semi-deep lake (III) high-oxygen semi-deep lake (IV) high-oxygen shallow lake (V) deep-water low-oxygen semi-deep lake and (VI) high-salinity low-oxygen shallow lake. The nonmarine environments changed frequently, unlike more stable environments. The development of bivalves in the shallow lake is suggested to be related to high salinity caused by dry climate, together with limited terrigenous input. Organic-rich nonmarine fine-grained sediments in the Ziliujing Formation formed in swamp and semi-deep lake with settings under reducing conditions, in a humid climate, with relatively high terrigenous input. Results of the study may help us to understand the deposition of nonmarine organic-rich fine-grained Lower Jurassic sediments in southwest, China.</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Wang, Y.-L., Sun, L.-J., Xian, C.-M., Kou, F.-L., Zhu, Y., He, L.-Y., Sheng, X.-F., </w:t>
      </w:r>
      <w:r w:rsidR="00616347">
        <w:t xml:space="preserve">2020. </w:t>
      </w:r>
      <w:r w:rsidRPr="003532DF">
        <w:t xml:space="preserve">Interactions between biotite and the mineral-weathering bacterium </w:t>
      </w:r>
      <w:r w:rsidRPr="003532DF">
        <w:rPr>
          <w:i/>
        </w:rPr>
        <w:t xml:space="preserve">Pseudomonas azotoformans </w:t>
      </w:r>
      <w:r w:rsidRPr="003532DF">
        <w:t>F77. Applied and Environmental Microbiology 86, e02568-19.</w:t>
      </w:r>
    </w:p>
    <w:p w:rsidR="00DB42FE" w:rsidRPr="003532DF" w:rsidRDefault="00DB42FE" w:rsidP="00616347">
      <w:pPr>
        <w:pStyle w:val="EndNoteBibliography"/>
        <w:ind w:left="360"/>
      </w:pPr>
      <w:r w:rsidRPr="003532DF">
        <w:t>http://aem.asm.org/content/86/7/e02568-19.abstract</w:t>
      </w:r>
    </w:p>
    <w:p w:rsidR="00DB42FE" w:rsidRPr="003532DF" w:rsidRDefault="00DB42FE" w:rsidP="00616347">
      <w:pPr>
        <w:pStyle w:val="EndNoteBibliography"/>
        <w:ind w:left="360"/>
      </w:pPr>
      <w:r w:rsidRPr="003532DF">
        <w:t xml:space="preserve">Abstract: In this study, the mineral-weathering bacterium Pseudomonas azotoformans F77, which was isolated from the soil of a debris flow area, was evaluated for its weathering activity under direct contact with biotite or without contact. Then, biotite-weathering behaviors of strain F77, mutants that had been created by deleting the </w:t>
      </w:r>
      <w:r w:rsidRPr="003532DF">
        <w:rPr>
          <w:i/>
        </w:rPr>
        <w:t>gcd</w:t>
      </w:r>
      <w:r w:rsidRPr="003532DF">
        <w:t xml:space="preserve"> and </w:t>
      </w:r>
      <w:r w:rsidRPr="003532DF">
        <w:rPr>
          <w:i/>
        </w:rPr>
        <w:t>adh</w:t>
      </w:r>
      <w:r w:rsidRPr="003532DF">
        <w:t xml:space="preserve"> genes (which are involved in gluconic acid metabolism and pilus formation, respectively), and the double mutant F77Δ</w:t>
      </w:r>
      <w:r w:rsidRPr="003532DF">
        <w:rPr>
          <w:i/>
        </w:rPr>
        <w:t>gcd</w:t>
      </w:r>
      <w:r w:rsidRPr="003532DF">
        <w:t>Δ</w:t>
      </w:r>
      <w:r w:rsidRPr="003532DF">
        <w:rPr>
          <w:i/>
        </w:rPr>
        <w:t>adh</w:t>
      </w:r>
      <w:r w:rsidRPr="003532DF">
        <w:t xml:space="preserve"> were compared. The relative gene expression levels of F77 and its mutants F77Δ</w:t>
      </w:r>
      <w:r w:rsidRPr="003532DF">
        <w:rPr>
          <w:i/>
        </w:rPr>
        <w:t>gcd</w:t>
      </w:r>
      <w:r w:rsidRPr="003532DF">
        <w:t xml:space="preserve"> and F77Δ</w:t>
      </w:r>
      <w:r w:rsidRPr="003532DF">
        <w:rPr>
          <w:i/>
        </w:rPr>
        <w:t>adh</w:t>
      </w:r>
      <w:r w:rsidRPr="003532DF">
        <w:t xml:space="preserve"> were also analyzed in the presence of biotite. Direct contact with biotite increased Fe and Al release from the mineral in the presence of F77. All strains had similar abilities to release Fe and Al from the mineral except for F77Δ</w:t>
      </w:r>
      <w:r w:rsidRPr="003532DF">
        <w:rPr>
          <w:i/>
        </w:rPr>
        <w:t>gcd</w:t>
      </w:r>
      <w:r w:rsidRPr="003532DF">
        <w:t xml:space="preserve"> and F77Δ</w:t>
      </w:r>
      <w:r w:rsidRPr="003532DF">
        <w:rPr>
          <w:i/>
        </w:rPr>
        <w:t>adh</w:t>
      </w:r>
      <w:r w:rsidRPr="003532DF">
        <w:t>. Mobilized Fe and Al concentrations were decreased by up to 72, 26, and 87% in the presence of F77Δ</w:t>
      </w:r>
      <w:r w:rsidRPr="003532DF">
        <w:rPr>
          <w:i/>
        </w:rPr>
        <w:t>gcd</w:t>
      </w:r>
      <w:r w:rsidRPr="003532DF">
        <w:t>, F77Δ</w:t>
      </w:r>
      <w:r w:rsidRPr="003532DF">
        <w:rPr>
          <w:i/>
        </w:rPr>
        <w:t>adh</w:t>
      </w:r>
      <w:r w:rsidRPr="003532DF">
        <w:t>, and F77Δ</w:t>
      </w:r>
      <w:r w:rsidRPr="003532DF">
        <w:rPr>
          <w:i/>
        </w:rPr>
        <w:t>gcd</w:t>
      </w:r>
      <w:r w:rsidRPr="003532DF">
        <w:t>Δ</w:t>
      </w:r>
      <w:r w:rsidRPr="003532DF">
        <w:rPr>
          <w:i/>
        </w:rPr>
        <w:t>adh</w:t>
      </w:r>
      <w:r w:rsidRPr="003532DF">
        <w:t>, respectively, compared to levels observed in the presence of F77 during the mineral-weathering process. Gluconic acid production was decreased for F77Δ</w:t>
      </w:r>
      <w:r w:rsidRPr="003532DF">
        <w:rPr>
          <w:i/>
        </w:rPr>
        <w:t>gcd</w:t>
      </w:r>
      <w:r w:rsidRPr="003532DF">
        <w:t xml:space="preserve"> and F77Δ</w:t>
      </w:r>
      <w:r w:rsidRPr="003532DF">
        <w:rPr>
          <w:i/>
        </w:rPr>
        <w:t>gcd</w:t>
      </w:r>
      <w:r w:rsidRPr="003532DF">
        <w:t>Δ</w:t>
      </w:r>
      <w:r w:rsidRPr="003532DF">
        <w:rPr>
          <w:i/>
        </w:rPr>
        <w:t>adh</w:t>
      </w:r>
      <w:r w:rsidRPr="003532DF">
        <w:t>, while decreased cell attachment on the mineral surface was observed for F77Δ</w:t>
      </w:r>
      <w:r w:rsidRPr="003532DF">
        <w:rPr>
          <w:i/>
        </w:rPr>
        <w:t>adh</w:t>
      </w:r>
      <w:r w:rsidRPr="003532DF">
        <w:t>, compared to findings for F77. The F77 genes involved in pilus formation and gluconic acid metabolism showed increased expression levels in the presence of biotite. The results of this study showed important roles for the genes involved in gluconic acid metabolism and pilus formation in mineral weathering by F77 and demonstrated the distinctive effect of these genes on mineral weathering by F77.</w:t>
      </w:r>
    </w:p>
    <w:p w:rsidR="00DB42FE" w:rsidRPr="003532DF" w:rsidRDefault="00DB42FE" w:rsidP="00616347">
      <w:pPr>
        <w:pStyle w:val="EndNoteBibliography"/>
        <w:spacing w:after="0"/>
        <w:ind w:left="360"/>
      </w:pPr>
      <w:r w:rsidRPr="003532DF">
        <w:t>Importance: Bacteria play important roles in mineral weathering and soil formation, although the molecular mechanisms underlying the interactions between bacteria and silicate minerals are poorly understood. In this study, the interactions between biotite and the highly effective mineral-weathering bacterium P. azotoformans F77 were characterized. Our results showed that the genes involved in gluconic acid metabolism and pilus formation play important roles in mineral weathering by F77. The presence of biotite could promote the expression of these genes in F77, and a distinctive effect of these genes on mineral weathering by F77 was observed in this study. Our results provide new knowledge and promote better understanding regarding the interaction between silicate minerals and mineral-weathering bacteria, as well as the molecular mechanisms involved in these processes.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lastRenderedPageBreak/>
        <w:t xml:space="preserve">Wang, Z., Cao, X., Li, N., Yang, Z., Lei, M., Zhao, Y., Wang, L., Li, Z., Liu, D., Niu, H., Ying, H., </w:t>
      </w:r>
      <w:r w:rsidR="00616347">
        <w:t xml:space="preserve">2020. </w:t>
      </w:r>
      <w:r w:rsidRPr="003532DF">
        <w:t xml:space="preserve">Production of butanol directly from hemicellulose through secretory expression of a xylanase in </w:t>
      </w:r>
      <w:r w:rsidRPr="003532DF">
        <w:rPr>
          <w:i/>
        </w:rPr>
        <w:t>Clostridium acetobutylicum</w:t>
      </w:r>
      <w:r w:rsidRPr="003532DF">
        <w:t>. Energy &amp; Fuels 34, 3376-3382.</w:t>
      </w:r>
    </w:p>
    <w:p w:rsidR="00DB42FE" w:rsidRPr="003532DF" w:rsidRDefault="00DB42FE" w:rsidP="00616347">
      <w:pPr>
        <w:pStyle w:val="EndNoteBibliography"/>
        <w:ind w:left="360"/>
      </w:pPr>
      <w:r w:rsidRPr="003532DF">
        <w:t>https://doi.org/10.1021/acs.energyfuels.9b04489</w:t>
      </w:r>
    </w:p>
    <w:p w:rsidR="00DB42FE" w:rsidRPr="003532DF" w:rsidRDefault="00DB42FE" w:rsidP="00616347">
      <w:pPr>
        <w:pStyle w:val="EndNoteBibliography"/>
        <w:spacing w:after="0"/>
        <w:ind w:left="360"/>
      </w:pPr>
      <w:r w:rsidRPr="003532DF">
        <w:t xml:space="preserve">Butanol is an attractive second-generation biofuel as well as an important chemical. Production of butanol from lignocellulosic feedstock via consolidated bioprocessing has attracted increasing interest in recent years. However, this has been limited by the inefficient degradation of extracellular polysaccharides in butanol-producing strains. In this study, production of butanol directly from hemicellulose was achieved simply through overexpression of an indigenous xylanase in </w:t>
      </w:r>
      <w:r w:rsidRPr="003532DF">
        <w:rPr>
          <w:i/>
        </w:rPr>
        <w:t>Clostridium acetobutylicum</w:t>
      </w:r>
      <w:r w:rsidRPr="003532DF">
        <w:t xml:space="preserve">. The xylanase (XynB) encoded by CA_P0053 was highly soluble and fully secreted from </w:t>
      </w:r>
      <w:r w:rsidRPr="003532DF">
        <w:rPr>
          <w:i/>
        </w:rPr>
        <w:t>C. acetobutylicum</w:t>
      </w:r>
      <w:r w:rsidRPr="003532DF">
        <w:t xml:space="preserve">. The extracellular xylanase activity was increased 88-fold, and 4.03 g/L biobutanol was obtained from hemicellulose, which has been the highest yield yet reported from either hemicellulose or xylan. This study proved that the solventogenic </w:t>
      </w:r>
      <w:r w:rsidRPr="003532DF">
        <w:rPr>
          <w:i/>
        </w:rPr>
        <w:t>C. acetobutylicum</w:t>
      </w:r>
      <w:r w:rsidRPr="003532DF">
        <w:t xml:space="preserve"> had great potential for consolidated production of biofuels. Understanding and applying its secretion mechanism will be of great significance in the future.</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Wang, Z., Chen, J., Liang, T., Yuan, J., Han, C., Liu, J., Zhu, C., Zhu, D., Han, Z., </w:t>
      </w:r>
      <w:r w:rsidR="00616347">
        <w:t xml:space="preserve">2020. </w:t>
      </w:r>
      <w:r w:rsidRPr="003532DF">
        <w:t>Spatial variation in carbonate carbon isotopes during the Cambrian SPICE event across the eastern North China Platform. Palaeogeography, Palaeoclimatology, Palaeoecology 546, 109669.</w:t>
      </w:r>
    </w:p>
    <w:p w:rsidR="00DB42FE" w:rsidRPr="003532DF" w:rsidRDefault="00DB42FE" w:rsidP="00616347">
      <w:pPr>
        <w:pStyle w:val="EndNoteBibliography"/>
        <w:ind w:left="360"/>
      </w:pPr>
      <w:r w:rsidRPr="003532DF">
        <w:t>http://www.sciencedirect.com/science/article/pii/S0031018220301140</w:t>
      </w:r>
    </w:p>
    <w:p w:rsidR="00DB42FE" w:rsidRPr="003532DF" w:rsidRDefault="00DB42FE" w:rsidP="00616347">
      <w:pPr>
        <w:pStyle w:val="EndNoteBibliography"/>
        <w:spacing w:after="0"/>
        <w:ind w:left="360"/>
      </w:pPr>
      <w:r w:rsidRPr="003532DF">
        <w:t>The Cambrian SPICE (Steptoean Positive Carbon Isotope Excursion) event is widely reported from the late Miaolingian to the early Furongian, but recent studies imply that the synchroneity and magnitude of the SPICE may be controversial. In order to test the spatial variation of the SPICE, here we present 367 carbonate δ</w:t>
      </w:r>
      <w:r w:rsidRPr="003532DF">
        <w:rPr>
          <w:vertAlign w:val="superscript"/>
        </w:rPr>
        <w:t>13</w:t>
      </w:r>
      <w:r w:rsidRPr="003532DF">
        <w:t>C data from six outcrop sections across a ~700 km transect along the eastern North China Platform. The SPICE is present in all the studied sections, but showing different features regarding the duration and magnitude. An abrupt increase in δ</w:t>
      </w:r>
      <w:r w:rsidRPr="003532DF">
        <w:rPr>
          <w:vertAlign w:val="superscript"/>
        </w:rPr>
        <w:t>13</w:t>
      </w:r>
      <w:r w:rsidRPr="003532DF">
        <w:t>C from ~1.5‰ to 3.5‰ occurs in three Shandong sections, with maximum value present only in a thin (0.5–1.2 m thick) transgressive lag deposit (crudely wave stratified, bioclastic grainstone). In contrast, the δ</w:t>
      </w:r>
      <w:r w:rsidRPr="003532DF">
        <w:rPr>
          <w:vertAlign w:val="superscript"/>
        </w:rPr>
        <w:t>13</w:t>
      </w:r>
      <w:r w:rsidRPr="003532DF">
        <w:t>C record of the Baijiashan and Shashan sections in the Liaoning region displays a gradual increase (~20 m thick) from ~1.5‰ to the maximum value of 4.7‰. Both facies analysis and trilobite collections suggest that the spatial variation of the SPICE in the North China Platform most likely resulted from missing of sedimentary record (with high δ</w:t>
      </w:r>
      <w:r w:rsidRPr="003532DF">
        <w:rPr>
          <w:vertAlign w:val="superscript"/>
        </w:rPr>
        <w:t>13</w:t>
      </w:r>
      <w:r w:rsidRPr="003532DF">
        <w:t>C values) in the Shandong sections as a result of erosion and non-deposition during sea-level lowstand, a possible coeval hiatus prior to the Sauk III transgression in the Laurentian basins. Further high-resolution, integrated studies of sedimentology, biostratigraphy, and sedimentary geochemistry on the SPICE event are required to better understand its nature.</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Weggler, B.A., Gruber, B., Teehan, P., Jaramillo, R., Dorman, F.L., </w:t>
      </w:r>
      <w:r w:rsidR="00616347">
        <w:t xml:space="preserve">2020. </w:t>
      </w:r>
      <w:r w:rsidRPr="003532DF">
        <w:t>Chapter 5 - Inlets and sampling, in: Snow, N.H. (Ed.), Separation Science and Technology. Academic Press, pp. 141-203.</w:t>
      </w:r>
    </w:p>
    <w:p w:rsidR="00DB42FE" w:rsidRPr="003532DF" w:rsidRDefault="00DB42FE" w:rsidP="00616347">
      <w:pPr>
        <w:pStyle w:val="EndNoteBibliography"/>
        <w:ind w:left="360"/>
      </w:pPr>
      <w:r w:rsidRPr="003532DF">
        <w:t>http://www.sciencedirect.com/science/article/pii/B9780128137451000052</w:t>
      </w:r>
    </w:p>
    <w:p w:rsidR="00DB42FE" w:rsidRPr="003532DF" w:rsidRDefault="00DB42FE" w:rsidP="00616347">
      <w:pPr>
        <w:pStyle w:val="EndNoteBibliography"/>
        <w:spacing w:after="0"/>
        <w:ind w:left="360"/>
      </w:pPr>
      <w:r w:rsidRPr="003532DF">
        <w:t xml:space="preserve">When transferring an analytical method from one-dimensional to multidimensional gas chromatography (MDGC), certain parameters require special attention. Here, the sample </w:t>
      </w:r>
      <w:r w:rsidRPr="003532DF">
        <w:lastRenderedPageBreak/>
        <w:t>preparation (SP) and sample introduction are usually the least considered. However, even the most advanced MDGC approach is incapable of compensating for poor SP and injection. Therefore, a reevaluation of these analytical steps is certainly useful when methods are transferred to MDGC. This chapter provides a brief overview of the basic principles and applications of SP and introduction techniques commonly applied in MDGC. In addition, the effects of these techniques on the chromatographic process and the analytical results are discussed. The considerations presented here are intended to provide helpful information for beginners in MDGC.</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Wei, W., Klaebe, R., Ling, H.-F., Huang, F., Frei, R., </w:t>
      </w:r>
      <w:r w:rsidR="00616347">
        <w:t xml:space="preserve">2020. </w:t>
      </w:r>
      <w:r w:rsidRPr="003532DF">
        <w:t>Biogeochemical cycle of chromium isotopes at the modern Earth's surface and its applications as a paleo-environment proxy. Chemical Geology 541, 119570.</w:t>
      </w:r>
    </w:p>
    <w:p w:rsidR="00DB42FE" w:rsidRPr="003532DF" w:rsidRDefault="00DB42FE" w:rsidP="00616347">
      <w:pPr>
        <w:pStyle w:val="EndNoteBibliography"/>
        <w:ind w:left="360"/>
      </w:pPr>
      <w:r w:rsidRPr="003532DF">
        <w:t>http://www.sciencedirect.com/science/article/pii/S0009254120301091</w:t>
      </w:r>
    </w:p>
    <w:p w:rsidR="00DB42FE" w:rsidRPr="003532DF" w:rsidRDefault="00DB42FE" w:rsidP="00616347">
      <w:pPr>
        <w:pStyle w:val="EndNoteBibliography"/>
        <w:spacing w:after="0"/>
        <w:ind w:left="360"/>
      </w:pPr>
      <w:r w:rsidRPr="003532DF">
        <w:t>Chromium (Cr) is a redox-sensitive metal element with two natural oxidation states, commonly as the soluble Cr (VI) oxyanion (CrO</w:t>
      </w:r>
      <w:r w:rsidRPr="003532DF">
        <w:rPr>
          <w:vertAlign w:val="subscript"/>
        </w:rPr>
        <w:t>4</w:t>
      </w:r>
      <w:r w:rsidRPr="003532DF">
        <w:rPr>
          <w:vertAlign w:val="superscript"/>
        </w:rPr>
        <w:t>2−</w:t>
      </w:r>
      <w:r w:rsidRPr="003532DF">
        <w:t xml:space="preserve"> or HCrO</w:t>
      </w:r>
      <w:r w:rsidRPr="003532DF">
        <w:rPr>
          <w:vertAlign w:val="subscript"/>
        </w:rPr>
        <w:t>4</w:t>
      </w:r>
      <w:r w:rsidRPr="003532DF">
        <w:rPr>
          <w:vertAlign w:val="superscript"/>
        </w:rPr>
        <w:t>−</w:t>
      </w:r>
      <w:r w:rsidRPr="003532DF">
        <w:t>) and the insoluble Cr (III)-compounds. Over past two decades, developments in mass spectrometric techniques make mass-dependent Cr isotope fractionation during Cr redox reactions, Cr (III) oxidation and abiotic/biotic Cr (VI) reduction, as well as other redox-independent processes detectable. This could help identify a range of magnitudes of Cr isotope fractionation observed during terrestrial Cr mobilization, riverine transport of Cr into estuary systems, oceanic Cr cycling, and Cr sinks into sediments, and understand how Cr isotopes biogeochemically cycle at the modern Earth's surface. Based on this framework, the stable Cr isotope system is increasingly used as a paleo-environmental proxy to trace the oxygenation history of the atmosphere-hydrosphere system. In this contribution, we focus on reviewing analytical methods of stable Cr isotopes, mass-dependent Cr isotope fractionation factors determined by laboratory experiments, the biogeochemical cycle of Cr isotopes at the modern Earth's surface, and its applications as a paleo-environmental proxy, in the nearly twenty-year development. Despite several outstanding uncertainties, the stable Cr isotope system shows great promise as a powerful monitor of atmospheric and oceanic oxygenation.</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White, L.M., Shibuya, T., Vance, S.D., Christensen, L.E., Bhartia, R., Kidd, R., Hoffmann, A., Stucky, G.D., Kanik, I., Russell, M.J., </w:t>
      </w:r>
      <w:r w:rsidR="00616347">
        <w:t xml:space="preserve">2020. </w:t>
      </w:r>
      <w:r w:rsidRPr="003532DF">
        <w:t>Simulating serpentinization as it could apply to the emergence of life using the JPL hydrothermal reactor. Astrobiology 20, 307-326.</w:t>
      </w:r>
    </w:p>
    <w:p w:rsidR="00DB42FE" w:rsidRPr="003532DF" w:rsidRDefault="00DB42FE" w:rsidP="00616347">
      <w:pPr>
        <w:pStyle w:val="EndNoteBibliography"/>
        <w:ind w:left="360"/>
      </w:pPr>
      <w:r w:rsidRPr="003532DF">
        <w:t>https://doi.org/10.1089/ast.2019.2090</w:t>
      </w:r>
    </w:p>
    <w:p w:rsidR="00DB42FE" w:rsidRPr="003532DF" w:rsidRDefault="00DB42FE" w:rsidP="00616347">
      <w:pPr>
        <w:pStyle w:val="EndNoteBibliography"/>
        <w:spacing w:after="0"/>
        <w:ind w:left="360"/>
      </w:pPr>
      <w:r w:rsidRPr="003532DF">
        <w:t>The molecules feeding life's emergence are thought to have been provided through the hydrothermal interactions of convecting carbonic ocean waters with minerals comprising the early Hadean oceanic crust. Few laboratory experiments have simulated ancient hydrothermal conditions to test this conjecture. We used the JPL hydrothermal flow reactor to investigate CO</w:t>
      </w:r>
      <w:r w:rsidRPr="003532DF">
        <w:rPr>
          <w:vertAlign w:val="subscript"/>
        </w:rPr>
        <w:t>2</w:t>
      </w:r>
      <w:r w:rsidRPr="003532DF">
        <w:t xml:space="preserve"> reduction in simulated ancient alkaline convective systems over 3 days (T = 120°C, </w:t>
      </w:r>
      <w:r w:rsidRPr="003532DF">
        <w:rPr>
          <w:i/>
        </w:rPr>
        <w:t>P</w:t>
      </w:r>
      <w:r w:rsidRPr="003532DF">
        <w:t> = 100 bar, pH = 11). H</w:t>
      </w:r>
      <w:r w:rsidRPr="003532DF">
        <w:rPr>
          <w:vertAlign w:val="subscript"/>
        </w:rPr>
        <w:t>2</w:t>
      </w:r>
      <w:r w:rsidRPr="003532DF">
        <w:t>-rich hydrothermal simulant and CO</w:t>
      </w:r>
      <w:r w:rsidRPr="003532DF">
        <w:rPr>
          <w:vertAlign w:val="subscript"/>
        </w:rPr>
        <w:t>2</w:t>
      </w:r>
      <w:r w:rsidRPr="003532DF">
        <w:t>-rich ocean simulant solutions were periodically driven in 4-h cycles through synthetic mafic and ultramafic substrates and Fe&gt;Ni sulfides. The resulting reductants included micromoles of HS</w:t>
      </w:r>
      <w:r w:rsidRPr="003532DF">
        <w:rPr>
          <w:vertAlign w:val="superscript"/>
        </w:rPr>
        <w:t>−</w:t>
      </w:r>
      <w:r w:rsidRPr="003532DF">
        <w:t xml:space="preserve"> and formate accompanied possibly by micromoles of acetate and intermittent minor bursts of methane as ascertained by isotopic labeling. The formate concentrations directly correlated with the CO</w:t>
      </w:r>
      <w:r w:rsidRPr="003532DF">
        <w:rPr>
          <w:vertAlign w:val="subscript"/>
        </w:rPr>
        <w:t>2</w:t>
      </w:r>
      <w:r w:rsidRPr="003532DF">
        <w:t xml:space="preserve"> input as well as with millimoles of Mg</w:t>
      </w:r>
      <w:r w:rsidRPr="003532DF">
        <w:rPr>
          <w:vertAlign w:val="superscript"/>
        </w:rPr>
        <w:t>2</w:t>
      </w:r>
      <w:r w:rsidRPr="003532DF">
        <w:rPr>
          <w:b/>
          <w:i/>
          <w:vertAlign w:val="superscript"/>
        </w:rPr>
        <w:t>+</w:t>
      </w:r>
      <w:r w:rsidRPr="003532DF">
        <w:t xml:space="preserve"> ions, whereas the acetate did not. Also, tens of micromoles of methane were drawn continuously from </w:t>
      </w:r>
      <w:r w:rsidRPr="003532DF">
        <w:lastRenderedPageBreak/>
        <w:t>the reactor materials during what appeared to be the onset of serpentinization. These results support the hypothesis that formate may have been delivered directly to a branch of an emerging acetyl coenzyme-A pathway, thus obviating the need for the very first hydrogenation of CO</w:t>
      </w:r>
      <w:r w:rsidRPr="003532DF">
        <w:rPr>
          <w:vertAlign w:val="subscript"/>
        </w:rPr>
        <w:t>2</w:t>
      </w:r>
      <w:r w:rsidRPr="003532DF">
        <w:t xml:space="preserve"> to be made in a hydrothermal mound. Another feed to early metabolism could have been methane, likely mostly leached from primary CH</w:t>
      </w:r>
      <w:r w:rsidRPr="003532DF">
        <w:rPr>
          <w:vertAlign w:val="subscript"/>
        </w:rPr>
        <w:t>4</w:t>
      </w:r>
      <w:r w:rsidRPr="003532DF">
        <w:t xml:space="preserve"> present in the original Hadean crust or emanating from the mantle. That a small volume of methane was produced sporadically from the </w:t>
      </w:r>
      <w:r w:rsidRPr="003532DF">
        <w:rPr>
          <w:vertAlign w:val="superscript"/>
        </w:rPr>
        <w:t>13</w:t>
      </w:r>
      <w:r w:rsidRPr="003532DF">
        <w:t>CO</w:t>
      </w:r>
      <w:r w:rsidRPr="003532DF">
        <w:rPr>
          <w:vertAlign w:val="subscript"/>
        </w:rPr>
        <w:t>2</w:t>
      </w:r>
      <w:r w:rsidRPr="003532DF">
        <w:t xml:space="preserve">-feed, perhaps from transient occlusions, echoes the mixed results and interpretations from other laboratories. As serpentinization and hydrothermal leaching can occur wherever an ocean convects within anhydrous olivine- and sulfide-rich crust, these results may be generalized to other wet rocky planets and moons in our solar system and beyond. </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Wietrzyk-Pełka, P., Rola, K., Szymański, W., Węgrzyn, M.H., </w:t>
      </w:r>
      <w:r w:rsidR="00616347">
        <w:t xml:space="preserve">2020. </w:t>
      </w:r>
      <w:r w:rsidRPr="003532DF">
        <w:t>Organic carbon accumulation in the glacier forelands with regard to variability of environmental conditions in different ecogenesis stages of High Arctic ecosystems. Science of The Total Environment 717, 135151.</w:t>
      </w:r>
    </w:p>
    <w:p w:rsidR="00DB42FE" w:rsidRPr="003532DF" w:rsidRDefault="00DB42FE" w:rsidP="00616347">
      <w:pPr>
        <w:pStyle w:val="EndNoteBibliography"/>
        <w:ind w:left="360"/>
      </w:pPr>
      <w:r w:rsidRPr="003532DF">
        <w:t>http://www.sciencedirect.com/science/article/pii/S0048969719351435</w:t>
      </w:r>
    </w:p>
    <w:p w:rsidR="00DB42FE" w:rsidRPr="003532DF" w:rsidRDefault="00DB42FE" w:rsidP="00616347">
      <w:pPr>
        <w:pStyle w:val="EndNoteBibliography"/>
        <w:spacing w:after="0"/>
        <w:ind w:left="360"/>
      </w:pPr>
      <w:r w:rsidRPr="003532DF">
        <w:t>Recently deglaciated surfaces of glacier forelands are subjected to a variety of biotic and abiotic factors that lead to continuous soil formation. Until now, no attempt has been taken to analyse multiple factors that might affect soil development in the Arctic forelands. The main aim of this research was to determine the factors that influence soil development in the eight forelands of Svalbard. Moreover, the effects of both habitat type (glacier foreland and mature tundra) and geographical location on environmental variables treated as potential factors influencing soil formation were tested. In 2017, at each location a series of 1 m</w:t>
      </w:r>
      <w:r w:rsidRPr="003532DF">
        <w:rPr>
          <w:vertAlign w:val="superscript"/>
        </w:rPr>
        <w:t>2</w:t>
      </w:r>
      <w:r w:rsidRPr="003532DF">
        <w:t xml:space="preserve"> plots was established; all 168 plots were investigated in terms of soil properties, spatial data, biological soil crusts (BSCs) properties, percent cover of BSCs and vascular plants. Stepwise multiple linear regression analysis using forward variable selection showed that soil development was significantly associated with six of fifteen analysed factors, i.e. BSC cover, carbon and nitrogen content in BSCs, soil pH, Topographic Wetness Index and foreland location. Two-way analysis of variance followed by Tukey’s test revealed significant differences in studied environmental variables between habitat types and studied locations, showing that foreland soils still retain particular initial characters to differentiate them from tundra soil.</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Wilkin, S., Ventresca Miller, A., Taylor, W.T.T., Miller, B.K., Hagan, R.W., Bleasdale, M., Scott, A., Gankhuyg, S., Ramsøe, A., Uliziibayar, S., Trachsel, C., Nanni, P., Grossmann, J., Orlando, L., Horton, M., Stockhammer, P.W., Myagmar, E., Boivin, N., Warinner, C., Hendy, J., </w:t>
      </w:r>
      <w:r w:rsidR="00616347">
        <w:t xml:space="preserve">2020. </w:t>
      </w:r>
      <w:r w:rsidRPr="003532DF">
        <w:t>Dairy pastoralism sustained eastern Eurasian steppe populations for 5,000 years. Nature Ecology &amp; Evolution 4, 346-355.</w:t>
      </w:r>
    </w:p>
    <w:p w:rsidR="00DB42FE" w:rsidRPr="003532DF" w:rsidRDefault="00DB42FE" w:rsidP="00616347">
      <w:pPr>
        <w:pStyle w:val="EndNoteBibliography"/>
        <w:ind w:left="360"/>
      </w:pPr>
      <w:r w:rsidRPr="003532DF">
        <w:t>https://doi.org/10.1038/s41559-020-1120-y</w:t>
      </w:r>
    </w:p>
    <w:p w:rsidR="00DB42FE" w:rsidRPr="003532DF" w:rsidRDefault="00DB42FE" w:rsidP="00616347">
      <w:pPr>
        <w:pStyle w:val="EndNoteBibliography"/>
        <w:spacing w:after="0"/>
        <w:ind w:left="360"/>
      </w:pPr>
      <w:r w:rsidRPr="003532DF">
        <w:t xml:space="preserve">Dairy pastoralism is integral to contemporary and past lifeways on the eastern Eurasian steppe, facilitating survival in agriculturally challenging environments. While previous research has indicated that ruminant dairy pastoralism was practiced in the region by circa 1300 bc, the origin, extent and diversity of this custom remain poorly understood. Here, we analyse ancient proteins from human dental calculus recovered from geographically diverse locations across Mongolia and spanning 5,000 years. We present the earliest evidence for dairy consumption on the eastern Eurasian steppe </w:t>
      </w:r>
      <w:r w:rsidRPr="003532DF">
        <w:lastRenderedPageBreak/>
        <w:t>by circa 3000 bc and the later emergence of horse milking at circa 1200 bc, concurrent with the first evidence for horse riding. We argue that ruminant dairying contributed to the demographic success of Bronze Age Mongolian populations and that the origins of traditional horse dairy products in eastern Eurasia are closely tied to the regional emergence of mounted herding societies during the late second millennium bc.</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Will, M., </w:t>
      </w:r>
      <w:r w:rsidR="00616347">
        <w:t xml:space="preserve">2020. </w:t>
      </w:r>
      <w:r w:rsidRPr="003532DF">
        <w:t>Neanderthal surf and turf. Science 367, 1422-1423.</w:t>
      </w:r>
    </w:p>
    <w:p w:rsidR="00DB42FE" w:rsidRPr="003532DF" w:rsidRDefault="00DB42FE" w:rsidP="00616347">
      <w:pPr>
        <w:pStyle w:val="EndNoteBibliography"/>
        <w:ind w:left="360"/>
      </w:pPr>
      <w:r w:rsidRPr="003532DF">
        <w:t>http://science.sciencemag.org/content/367/6485/1422.abstract</w:t>
      </w:r>
    </w:p>
    <w:p w:rsidR="00DB42FE" w:rsidRPr="003532DF" w:rsidRDefault="00DB42FE" w:rsidP="00616347">
      <w:pPr>
        <w:pStyle w:val="EndNoteBibliography"/>
        <w:ind w:left="360"/>
      </w:pPr>
      <w:r w:rsidRPr="003532DF">
        <w:t xml:space="preserve">Humans share a deep bond with coasts and oceans. More than 500 million people live in coastal communities, and beaches and seafood attract tourists from around the world. Archaeological research in southern Africa revealed early human coastal adaptations that occurred at least as far back as </w:t>
      </w:r>
      <w:r w:rsidRPr="003532DF">
        <w:rPr>
          <w:rFonts w:ascii="Cambria Math" w:hAnsi="Cambria Math" w:cs="Cambria Math"/>
        </w:rPr>
        <w:t>∼</w:t>
      </w:r>
      <w:r w:rsidRPr="003532DF">
        <w:t>160,000 years ago (1) in the Middle Stone Age (MSA)</w:t>
      </w:r>
      <w:r w:rsidRPr="003532DF">
        <w:rPr>
          <w:rFonts w:cs="Calibri"/>
        </w:rPr>
        <w:t>—</w:t>
      </w:r>
      <w:r w:rsidRPr="003532DF">
        <w:t xml:space="preserve">the cultural period of the earliest </w:t>
      </w:r>
      <w:r w:rsidRPr="003532DF">
        <w:rPr>
          <w:i/>
        </w:rPr>
        <w:t>Homo sapiens</w:t>
      </w:r>
      <w:r w:rsidRPr="003532DF">
        <w:t xml:space="preserve">. Paleolithic sites across Africa and elsewhere support the hypothesis that coastal adaptations have a long and lasting history. Yet, scientists still debate the importance of coastal adaptations for the evolution and dispersal of </w:t>
      </w:r>
      <w:r w:rsidRPr="003532DF">
        <w:rPr>
          <w:i/>
        </w:rPr>
        <w:t>H. sapiens</w:t>
      </w:r>
      <w:r w:rsidRPr="003532DF">
        <w:t xml:space="preserve"> during the Pleistocene (Ice Age) (</w:t>
      </w:r>
      <w:r w:rsidRPr="003532DF">
        <w:rPr>
          <w:i/>
          <w:u w:val="single"/>
        </w:rPr>
        <w:t>2</w:t>
      </w:r>
      <w:r w:rsidRPr="003532DF">
        <w:t xml:space="preserve">). On page 1443 of this issue, Zilhão </w:t>
      </w:r>
      <w:r w:rsidRPr="003532DF">
        <w:rPr>
          <w:i/>
        </w:rPr>
        <w:t>et al.</w:t>
      </w:r>
      <w:r w:rsidRPr="003532DF">
        <w:t xml:space="preserve"> (</w:t>
      </w:r>
      <w:r w:rsidRPr="003532DF">
        <w:rPr>
          <w:i/>
          <w:u w:val="single"/>
        </w:rPr>
        <w:t>3</w:t>
      </w:r>
      <w:r w:rsidRPr="003532DF">
        <w:t>) tackle an even more contentious issue with wide-ranging implications for human evolution: Did Neanderthals share our species' interest in oceans and their inhabitants?</w:t>
      </w:r>
    </w:p>
    <w:p w:rsidR="00DB42FE" w:rsidRPr="003532DF" w:rsidRDefault="00DB42FE" w:rsidP="00616347">
      <w:pPr>
        <w:pStyle w:val="EndNoteBibliography"/>
        <w:ind w:left="360"/>
      </w:pPr>
      <w:r w:rsidRPr="003532DF">
        <w:t>Archaeologists have taken various stances on whether Neanderthals possessed coastal adaptations comparable with those of MSA modern humans. The answers range from emphatic affirmation (</w:t>
      </w:r>
      <w:r w:rsidRPr="003532DF">
        <w:rPr>
          <w:i/>
          <w:u w:val="single"/>
        </w:rPr>
        <w:t>4</w:t>
      </w:r>
      <w:r w:rsidRPr="003532DF">
        <w:t xml:space="preserve">, </w:t>
      </w:r>
      <w:r w:rsidRPr="003532DF">
        <w:rPr>
          <w:i/>
          <w:u w:val="single"/>
        </w:rPr>
        <w:t>5</w:t>
      </w:r>
      <w:r w:rsidRPr="003532DF">
        <w:t>) to outright rejection (</w:t>
      </w:r>
      <w:r w:rsidRPr="003532DF">
        <w:rPr>
          <w:i/>
          <w:u w:val="single"/>
        </w:rPr>
        <w:t>6</w:t>
      </w:r>
      <w:r w:rsidRPr="003532DF">
        <w:t>), although intermediate positions do exist. The intermediate view grants Neanderthals adaptations to coasts and their resources that differ in some ways from their modern counterparts (</w:t>
      </w:r>
      <w:r w:rsidRPr="003532DF">
        <w:rPr>
          <w:i/>
          <w:u w:val="single"/>
        </w:rPr>
        <w:t>7</w:t>
      </w:r>
      <w:r w:rsidRPr="003532DF">
        <w:t xml:space="preserve">, </w:t>
      </w:r>
      <w:r w:rsidRPr="003532DF">
        <w:rPr>
          <w:i/>
          <w:u w:val="single"/>
        </w:rPr>
        <w:t>8</w:t>
      </w:r>
      <w:r w:rsidRPr="003532DF">
        <w:t>). A brief account of Pleistocene coastal archaeology helps to clarify the importance of the new study.</w:t>
      </w:r>
    </w:p>
    <w:p w:rsidR="00DB42FE" w:rsidRPr="003532DF" w:rsidRDefault="00DB42FE" w:rsidP="00616347">
      <w:pPr>
        <w:pStyle w:val="EndNoteBibliography"/>
        <w:ind w:left="360"/>
      </w:pPr>
      <w:r w:rsidRPr="003532DF">
        <w:t>In the 1920s, archaeologists reported Neanderthal sites with shellfish remains on Gibraltar, a narrow peninsula at Spain's southern Mediterranean coast (</w:t>
      </w:r>
      <w:r w:rsidRPr="003532DF">
        <w:rPr>
          <w:i/>
          <w:u w:val="single"/>
        </w:rPr>
        <w:t>9</w:t>
      </w:r>
      <w:r w:rsidRPr="003532DF">
        <w:t xml:space="preserve">). Since then, archaeologists have discovered additional European sites containing thin scatters of artefacts, shellfish, and the occasional seal dating from between </w:t>
      </w:r>
      <w:r w:rsidRPr="003532DF">
        <w:rPr>
          <w:rFonts w:ascii="Cambria Math" w:hAnsi="Cambria Math" w:cs="Cambria Math"/>
        </w:rPr>
        <w:t>∼</w:t>
      </w:r>
      <w:r w:rsidRPr="003532DF">
        <w:t>100,000 and 40,000 years ago (</w:t>
      </w:r>
      <w:r w:rsidRPr="003532DF">
        <w:rPr>
          <w:i/>
          <w:u w:val="single"/>
        </w:rPr>
        <w:t>4</w:t>
      </w:r>
      <w:r w:rsidRPr="003532DF">
        <w:t xml:space="preserve">, </w:t>
      </w:r>
      <w:r w:rsidRPr="003532DF">
        <w:rPr>
          <w:i/>
          <w:u w:val="single"/>
        </w:rPr>
        <w:t>10</w:t>
      </w:r>
      <w:r w:rsidRPr="003532DF">
        <w:t xml:space="preserve">), although these discoveries sometimes lack data to verify their anthropogenic origins. Since the 1990s, excavations from the African MSA uncovered coastal sites of early modern humans dating back to </w:t>
      </w:r>
      <w:r w:rsidRPr="003532DF">
        <w:rPr>
          <w:rFonts w:ascii="Cambria Math" w:hAnsi="Cambria Math" w:cs="Cambria Math"/>
        </w:rPr>
        <w:t>∼</w:t>
      </w:r>
      <w:r w:rsidRPr="003532DF">
        <w:t>160,000 to 50,000 years ago. These sites contain dense accumulations of stone tools and shellfish (</w:t>
      </w:r>
      <w:r w:rsidRPr="003532DF">
        <w:rPr>
          <w:i/>
          <w:u w:val="single"/>
        </w:rPr>
        <w:t>1</w:t>
      </w:r>
      <w:r w:rsidRPr="003532DF">
        <w:t xml:space="preserve">, </w:t>
      </w:r>
      <w:r w:rsidRPr="003532DF">
        <w:rPr>
          <w:i/>
          <w:u w:val="single"/>
        </w:rPr>
        <w:t>8</w:t>
      </w:r>
      <w:r w:rsidRPr="003532DF">
        <w:t>), including spectacular finds such as beads made from shells and shell containers for paint (</w:t>
      </w:r>
      <w:r w:rsidRPr="003532DF">
        <w:rPr>
          <w:i/>
          <w:u w:val="single"/>
        </w:rPr>
        <w:t>11</w:t>
      </w:r>
      <w:r w:rsidRPr="003532DF">
        <w:t xml:space="preserve">, </w:t>
      </w:r>
      <w:r w:rsidRPr="003532DF">
        <w:rPr>
          <w:i/>
          <w:u w:val="single"/>
        </w:rPr>
        <w:t>12</w:t>
      </w:r>
      <w:r w:rsidRPr="003532DF">
        <w:t>). Some of these localities exhibit true shell-midden deposits—sediments almost completely composed of shells—otherwise known only from the Holocene or recent hunter-gatherers. Contrasting this newfound record with the comparatively meager remains from the European Mediterranean coast has raised doubts about Neanderthals' ability to exploit coasts in a similarly efficient and enduring manner (</w:t>
      </w:r>
      <w:r w:rsidRPr="003532DF">
        <w:rPr>
          <w:i/>
          <w:u w:val="single"/>
        </w:rPr>
        <w:t>6</w:t>
      </w:r>
      <w:r w:rsidRPr="003532DF">
        <w:t>).</w:t>
      </w:r>
    </w:p>
    <w:p w:rsidR="00DB42FE" w:rsidRPr="003532DF" w:rsidRDefault="00DB42FE" w:rsidP="00616347">
      <w:pPr>
        <w:pStyle w:val="EndNoteBibliography"/>
        <w:ind w:left="360"/>
      </w:pPr>
      <w:r w:rsidRPr="003532DF">
        <w:t xml:space="preserve">The findings of Zilhão </w:t>
      </w:r>
      <w:r w:rsidRPr="003532DF">
        <w:rPr>
          <w:i/>
        </w:rPr>
        <w:t>et al.</w:t>
      </w:r>
      <w:r w:rsidRPr="003532DF">
        <w:t xml:space="preserve"> shed new light on these issues. The authors report on excavations at a cave site, Figueira Brava, along the Atlantic coast of Portugal, where marine productivity is high. Neanderthals left stone tools and the remains of consumed animals within a well-documented stratigraphic sequence dated, by use of various chronometric methods, to </w:t>
      </w:r>
      <w:r w:rsidRPr="003532DF">
        <w:rPr>
          <w:rFonts w:ascii="Cambria Math" w:hAnsi="Cambria Math" w:cs="Cambria Math"/>
        </w:rPr>
        <w:t>∼</w:t>
      </w:r>
      <w:r w:rsidRPr="003532DF">
        <w:t>106,000 to 86,000 years ago. The menu included a variety of surf and turf: shellfish, crabs, and fish from the ocean but also waterfowl, red deer, horse, and even pine nuts. This evidence shows a flexible approach to subsistence that encompassed all surrounding ecosystems.</w:t>
      </w:r>
    </w:p>
    <w:p w:rsidR="00DB42FE" w:rsidRPr="003532DF" w:rsidRDefault="00DB42FE" w:rsidP="00616347">
      <w:pPr>
        <w:pStyle w:val="EndNoteBibliography"/>
        <w:ind w:left="360"/>
      </w:pPr>
      <w:r w:rsidRPr="003532DF">
        <w:lastRenderedPageBreak/>
        <w:t xml:space="preserve">The authors convincingly demonstrate that Neanderthals collected marine foods, with densities of shellfish and fish falling well into the range of the highest frequencies of rich southern African MSA sites. The variable but consistent signal of these behaviors across multiple archaeological layers at Figueira Brava provides robust evidence of systematic, long-term coastal adaptations by Neanderthals during the Pleistocene. Furthermore, the new findings appear to show the same kinds of interactions with coasts and marine foods as those of early </w:t>
      </w:r>
      <w:r w:rsidRPr="003532DF">
        <w:rPr>
          <w:i/>
        </w:rPr>
        <w:t>H. sapiens</w:t>
      </w:r>
      <w:r w:rsidRPr="003532DF">
        <w:t>. Thus, the current study refutes the theory that Neanderthals were not able to efficiently extract diverse ocean resources in large quantities (</w:t>
      </w:r>
      <w:r w:rsidRPr="003532DF">
        <w:rPr>
          <w:i/>
          <w:u w:val="single"/>
        </w:rPr>
        <w:t>6</w:t>
      </w:r>
      <w:r w:rsidRPr="003532DF">
        <w:t xml:space="preserve">). However, one archaeological site does not make a pattern: Figueira Brava constitutes a single high-density example comparable with key MSA sites of southern Africa. Whether this situation resulted from high marine productivity and favorable preservation, as suggested by Zilhão </w:t>
      </w:r>
      <w:r w:rsidRPr="003532DF">
        <w:rPr>
          <w:i/>
        </w:rPr>
        <w:t>et al.</w:t>
      </w:r>
      <w:r w:rsidRPr="003532DF">
        <w:t>, remains a hypothesis in need of further research along the Atlantic coasts of Portugal and Spain.</w:t>
      </w:r>
    </w:p>
    <w:p w:rsidR="00DB42FE" w:rsidRPr="003532DF" w:rsidRDefault="00DB42FE" w:rsidP="00616347">
      <w:pPr>
        <w:pStyle w:val="EndNoteBibliography"/>
        <w:ind w:left="360"/>
      </w:pPr>
      <w:r w:rsidRPr="003532DF">
        <w:t xml:space="preserve">Ultimately, scientists should take a step back and look at the broader picture: Considering the entire archaeological record of coastal adaptations by Neanderthals and MSA modern humans from </w:t>
      </w:r>
      <w:r w:rsidRPr="003532DF">
        <w:rPr>
          <w:rFonts w:ascii="Cambria Math" w:hAnsi="Cambria Math" w:cs="Cambria Math"/>
        </w:rPr>
        <w:t>∼</w:t>
      </w:r>
      <w:r w:rsidRPr="003532DF">
        <w:t>60 sites (</w:t>
      </w:r>
      <w:r w:rsidRPr="003532DF">
        <w:rPr>
          <w:i/>
          <w:u w:val="single"/>
        </w:rPr>
        <w:t>8</w:t>
      </w:r>
      <w:r w:rsidRPr="003532DF">
        <w:t>), the new study adds important, highresolution data showing that under some circumstances, the two species shared comparable behaviors. However, taking into account all available evidence from coastal sites, the behavioral records of early H. sapiens show more intense occupations of shorelines and use of marine resources compared with Neanderthals'. Furthermore, several MSA sites have yielded shell beads, whereas such ornaments are absent from most coastal Neanderthal sites (</w:t>
      </w:r>
      <w:r w:rsidRPr="003532DF">
        <w:rPr>
          <w:i/>
          <w:u w:val="single"/>
        </w:rPr>
        <w:t>8</w:t>
      </w:r>
      <w:r w:rsidRPr="003532DF">
        <w:t>), as is the case at Figueira Brava.</w:t>
      </w:r>
    </w:p>
    <w:p w:rsidR="00DB42FE" w:rsidRPr="003532DF" w:rsidRDefault="00DB42FE" w:rsidP="00616347">
      <w:pPr>
        <w:pStyle w:val="EndNoteBibliography"/>
        <w:ind w:left="360"/>
      </w:pPr>
      <w:r w:rsidRPr="003532DF">
        <w:t>After a century of studies in Europe and a much shorter research history in Africa, multifaceted differences in scale and magnitude remain between the two records, and these are hard to explain with preservation and ecology alone. As with many recent archaeological findings in Pleistocene Europe—including rare jewelry made from eagle talons and potential cave art by Neanderthals (</w:t>
      </w:r>
      <w:r w:rsidRPr="003532DF">
        <w:rPr>
          <w:i/>
          <w:u w:val="single"/>
        </w:rPr>
        <w:t>13</w:t>
      </w:r>
      <w:r w:rsidRPr="003532DF">
        <w:t xml:space="preserve">), which sparked wide interest and lively debate—the new study narrows the gap between </w:t>
      </w:r>
      <w:r w:rsidRPr="003532DF">
        <w:rPr>
          <w:i/>
        </w:rPr>
        <w:t>H. sapiens</w:t>
      </w:r>
      <w:r w:rsidRPr="003532DF">
        <w:t xml:space="preserve"> and its closest ancestors but does not close it.</w:t>
      </w:r>
    </w:p>
    <w:p w:rsidR="00DB42FE" w:rsidRPr="003532DF" w:rsidRDefault="00DB42FE" w:rsidP="00616347">
      <w:pPr>
        <w:pStyle w:val="EndNoteBibliography"/>
        <w:ind w:left="360"/>
      </w:pPr>
      <w:r w:rsidRPr="003532DF">
        <w:t xml:space="preserve">Where should the archaeology of early coastal adaptations go from here? The key to expanding our knowledge about the origins, extent, and importance of coastal adaptations across species of </w:t>
      </w:r>
      <w:r w:rsidRPr="003532DF">
        <w:rPr>
          <w:i/>
        </w:rPr>
        <w:t>Homo</w:t>
      </w:r>
      <w:r w:rsidRPr="003532DF">
        <w:t xml:space="preserve"> is to further explore African and Eurasian seashores that escaped Pleistocene sea-level highstands and occur beside productive oceans with narrow continental shelves. This endeavor might require aid from underwater archaeology (</w:t>
      </w:r>
      <w:r w:rsidRPr="003532DF">
        <w:rPr>
          <w:i/>
          <w:u w:val="single"/>
        </w:rPr>
        <w:t>14</w:t>
      </w:r>
      <w:r w:rsidRPr="003532DF">
        <w:t>). Wider implications of coastal adaptations for human evolution must be reconsidered in an interspecies framework. Marine foods play a crucial role in some scenarios for the evolution of the human brain because they are particularly rich in omega-3 fatty acids and other brain-selective nutrients (</w:t>
      </w:r>
      <w:r w:rsidRPr="003532DF">
        <w:rPr>
          <w:i/>
          <w:u w:val="single"/>
        </w:rPr>
        <w:t>15</w:t>
      </w:r>
      <w:r w:rsidRPr="003532DF">
        <w:t>). Interdisciplinary studies involving archaeology, biochemistry, and neuroscience could examine the long-term cognitive and health effects of the consumption of variable amounts of seafood, both in H. sapiens and in Neanderthals. On the basis of increasing evidence from coastal landscapes, open questions about dispersal corridors and refugia of archaic and modern humans might likewise need a fresh look and renewed fieldwork. Considering current interest, the coast is clear for these lines of research.</w:t>
      </w:r>
    </w:p>
    <w:p w:rsidR="00DB42FE" w:rsidRPr="003532DF" w:rsidRDefault="00DB42FE" w:rsidP="001C7498">
      <w:pPr>
        <w:pStyle w:val="EndNoteBibliography"/>
        <w:spacing w:after="0"/>
        <w:ind w:left="720" w:hanging="360"/>
      </w:pPr>
      <w:r w:rsidRPr="003532DF">
        <w:t>References and Notes</w:t>
      </w:r>
    </w:p>
    <w:p w:rsidR="00DB42FE" w:rsidRPr="003532DF" w:rsidRDefault="00DB42FE" w:rsidP="001C7498">
      <w:pPr>
        <w:pStyle w:val="EndNoteBibliography"/>
        <w:spacing w:after="0"/>
        <w:ind w:left="720" w:hanging="360"/>
      </w:pPr>
      <w:r w:rsidRPr="003532DF">
        <w:t>1.   C. W. Marean et al., Nature 449, 905 (2007).</w:t>
      </w:r>
    </w:p>
    <w:p w:rsidR="00DB42FE" w:rsidRPr="003532DF" w:rsidRDefault="00DB42FE" w:rsidP="001C7498">
      <w:pPr>
        <w:pStyle w:val="EndNoteBibliography"/>
        <w:spacing w:after="0"/>
        <w:ind w:left="720" w:hanging="360"/>
      </w:pPr>
      <w:r w:rsidRPr="003532DF">
        <w:t>2.   N. Boivin, D. Q. Fuller, R. Dennell, R. Allaby, M. D. Petraglia, Quat. Int. 300, 32 (2013).</w:t>
      </w:r>
    </w:p>
    <w:p w:rsidR="00DB42FE" w:rsidRPr="003532DF" w:rsidRDefault="00DB42FE" w:rsidP="001C7498">
      <w:pPr>
        <w:pStyle w:val="EndNoteBibliography"/>
        <w:spacing w:after="0"/>
        <w:ind w:left="720" w:hanging="360"/>
      </w:pPr>
      <w:r w:rsidRPr="003532DF">
        <w:t>3.   J. Zilhão et al., Science 367, eaaz7943 (2019).</w:t>
      </w:r>
    </w:p>
    <w:p w:rsidR="00DB42FE" w:rsidRPr="003532DF" w:rsidRDefault="00DB42FE" w:rsidP="001C7498">
      <w:pPr>
        <w:pStyle w:val="EndNoteBibliography"/>
        <w:spacing w:after="0"/>
        <w:ind w:left="720" w:hanging="360"/>
      </w:pPr>
      <w:r w:rsidRPr="003532DF">
        <w:t>4.   C. B. Stringer et al., Proc. Natl. Acad. Sci. U.S.A. 105, 14319 (2008).</w:t>
      </w:r>
    </w:p>
    <w:p w:rsidR="00DB42FE" w:rsidRPr="003532DF" w:rsidRDefault="00DB42FE" w:rsidP="001C7498">
      <w:pPr>
        <w:pStyle w:val="EndNoteBibliography"/>
        <w:spacing w:after="0"/>
        <w:ind w:left="720" w:hanging="360"/>
      </w:pPr>
      <w:r w:rsidRPr="003532DF">
        <w:t>5.   M. Cortés-Sánchez et al., PLOS ONE 6, e24026 (2011).</w:t>
      </w:r>
    </w:p>
    <w:p w:rsidR="00DB42FE" w:rsidRPr="003532DF" w:rsidRDefault="00DB42FE" w:rsidP="001C7498">
      <w:pPr>
        <w:pStyle w:val="EndNoteBibliography"/>
        <w:spacing w:after="0"/>
        <w:ind w:left="720" w:hanging="360"/>
      </w:pPr>
      <w:r w:rsidRPr="003532DF">
        <w:lastRenderedPageBreak/>
        <w:t>6.   C. W. Marean, J. Hum. Evol. 77, 17 (2014).</w:t>
      </w:r>
    </w:p>
    <w:p w:rsidR="00DB42FE" w:rsidRPr="003532DF" w:rsidRDefault="00DB42FE" w:rsidP="001C7498">
      <w:pPr>
        <w:pStyle w:val="EndNoteBibliography"/>
        <w:spacing w:after="0"/>
        <w:ind w:left="720" w:hanging="360"/>
      </w:pPr>
      <w:r w:rsidRPr="003532DF">
        <w:t>7.   D. A. Fa et al., Quat. Int. 407, 16 (2016).</w:t>
      </w:r>
    </w:p>
    <w:p w:rsidR="00DB42FE" w:rsidRPr="003532DF" w:rsidRDefault="00DB42FE" w:rsidP="001C7498">
      <w:pPr>
        <w:pStyle w:val="EndNoteBibliography"/>
        <w:spacing w:after="0"/>
        <w:ind w:left="720" w:hanging="360"/>
      </w:pPr>
      <w:r w:rsidRPr="003532DF">
        <w:t>8.   M. Will, A. W. Kandel, N. J. Conard J. World Prehist. 32, 33 (2019).</w:t>
      </w:r>
    </w:p>
    <w:p w:rsidR="00DB42FE" w:rsidRPr="003532DF" w:rsidRDefault="00DB42FE" w:rsidP="001C7498">
      <w:pPr>
        <w:pStyle w:val="EndNoteBibliography"/>
        <w:spacing w:after="0"/>
        <w:ind w:left="720" w:hanging="360"/>
      </w:pPr>
      <w:r w:rsidRPr="003532DF">
        <w:t>9.   D. Garrod et al., J. R. Anthropologic.l Inst. 58, 33 (1928).</w:t>
      </w:r>
    </w:p>
    <w:p w:rsidR="00DB42FE" w:rsidRPr="003532DF" w:rsidRDefault="00DB42FE" w:rsidP="001C7498">
      <w:pPr>
        <w:pStyle w:val="EndNoteBibliography"/>
        <w:spacing w:after="0"/>
        <w:ind w:left="720" w:hanging="360"/>
      </w:pPr>
      <w:r w:rsidRPr="003532DF">
        <w:t>10. M. C. Stiner, Honor Among Thieves: A Zooarchaeological Study of Neandertal Ecology (Princeton Univ. Press, 1994).</w:t>
      </w:r>
    </w:p>
    <w:p w:rsidR="00DB42FE" w:rsidRPr="003532DF" w:rsidRDefault="00DB42FE" w:rsidP="001C7498">
      <w:pPr>
        <w:pStyle w:val="EndNoteBibliography"/>
        <w:spacing w:after="0"/>
        <w:ind w:left="720" w:hanging="360"/>
      </w:pPr>
      <w:r w:rsidRPr="003532DF">
        <w:t>11. C. Henshilwood, F. d'Errico, M. Vanhaeren, K. van Niekerk, Z. Jacobs Science 304, 404 (2004).</w:t>
      </w:r>
    </w:p>
    <w:p w:rsidR="00DB42FE" w:rsidRPr="003532DF" w:rsidRDefault="00DB42FE" w:rsidP="001C7498">
      <w:pPr>
        <w:pStyle w:val="EndNoteBibliography"/>
        <w:spacing w:after="0"/>
        <w:ind w:left="720" w:hanging="360"/>
      </w:pPr>
      <w:r w:rsidRPr="003532DF">
        <w:t>12. C. S. Henshilwood et al., Science 334, 219 (2011).</w:t>
      </w:r>
    </w:p>
    <w:p w:rsidR="00DB42FE" w:rsidRPr="003532DF" w:rsidRDefault="00DB42FE" w:rsidP="001C7498">
      <w:pPr>
        <w:pStyle w:val="EndNoteBibliography"/>
        <w:spacing w:after="0"/>
        <w:ind w:left="720" w:hanging="360"/>
      </w:pPr>
      <w:r w:rsidRPr="003532DF">
        <w:t>13. D. L. Hoffmann et al., Science 359, 912 (2018).</w:t>
      </w:r>
    </w:p>
    <w:p w:rsidR="00DB42FE" w:rsidRPr="003532DF" w:rsidRDefault="00DB42FE" w:rsidP="001C7498">
      <w:pPr>
        <w:pStyle w:val="EndNoteBibliography"/>
        <w:spacing w:after="0"/>
        <w:ind w:left="720" w:hanging="360"/>
      </w:pPr>
      <w:r w:rsidRPr="003532DF">
        <w:t>14. G. Bailey, J. Harff, D. Sakellariou, Eds., Under the Sea: Archaeology and Palaeolandscapes of the Continental Shelf (Springer, 2017).</w:t>
      </w:r>
    </w:p>
    <w:p w:rsidR="00DB42FE" w:rsidRPr="003532DF" w:rsidRDefault="00DB42FE" w:rsidP="001C7498">
      <w:pPr>
        <w:pStyle w:val="EndNoteBibliography"/>
        <w:spacing w:after="0"/>
        <w:ind w:left="720" w:hanging="360"/>
      </w:pPr>
      <w:r w:rsidRPr="003532DF">
        <w:t>15. S. C. Cunnane, K. M. Stewart, Eds., Human Brain Evolution–The Influence of Freshwater and Marine Food Resources (Wiley-Blackwell, 2010).</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Williamson, C.J., Cook, J., Tedstone, A., Yallop, M., McCutcheon, J., Poniecka, E., Campbell, D., Irvine-Fynn, T., McQuaid, J., Tranter, M., Perkins, R., Anesio, A., </w:t>
      </w:r>
      <w:r w:rsidR="00616347">
        <w:t xml:space="preserve">2020. </w:t>
      </w:r>
      <w:r w:rsidRPr="003532DF">
        <w:t>Algal photophysiology drives darkening and melt of the Greenland Ice Sheet. Proceedings of the National Academy of Sciences 117, 5694-5705.</w:t>
      </w:r>
    </w:p>
    <w:p w:rsidR="00DB42FE" w:rsidRPr="003532DF" w:rsidRDefault="00DB42FE" w:rsidP="00616347">
      <w:pPr>
        <w:pStyle w:val="EndNoteBibliography"/>
        <w:ind w:left="360"/>
      </w:pPr>
      <w:r w:rsidRPr="003532DF">
        <w:t>https://doi.org/10.1073/pnas.1918412117</w:t>
      </w:r>
    </w:p>
    <w:p w:rsidR="00DB42FE" w:rsidRPr="003532DF" w:rsidRDefault="00DB42FE" w:rsidP="00616347">
      <w:pPr>
        <w:pStyle w:val="EndNoteBibliography"/>
        <w:ind w:left="360"/>
      </w:pPr>
      <w:r w:rsidRPr="003532DF">
        <w:t>Significance: Processes that darken the surface of the Greenland Ice Sheet (GrIS) enhance energy absorption and accelerate melt, with consequences for global sea-level rise. Here, we demonstrate how summer blooms of “glacier algae” darken the ice surface, significantly impacting the physical integrity of the environment. We identify and quantify the energy regulation mechanisms employed by glacier algae to balance their requirements for photosynthesis and growth with the extreme light and temperature regime of the GrIS, demonstrating how these mechanisms are optimized to darken and melt the ice surface. Our findings are critical for the incorporation of biological feedbacks into predictive models of GrIS surface runoff and provide unique insight into how photoautotrophic life excels within icy environments.</w:t>
      </w:r>
    </w:p>
    <w:p w:rsidR="00DB42FE" w:rsidRPr="003532DF" w:rsidRDefault="00DB42FE" w:rsidP="00616347">
      <w:pPr>
        <w:pStyle w:val="EndNoteBibliography"/>
        <w:spacing w:after="0"/>
        <w:ind w:left="360"/>
      </w:pPr>
      <w:r w:rsidRPr="003532DF">
        <w:t xml:space="preserve">Abstract: Blooms of Zygnematophycean “glacier algae” lower the bare ice albedo of the Greenland Ice Sheet (GrIS), amplifying summer energy absorption at the ice surface and enhancing meltwater runoff from the largest cryospheric contributor to contemporary sea-level rise. Here, we provide a step change in current understanding of algal-driven ice sheet darkening through quantification of the photophysiological mechanisms that allow glacier algae to thrive on and darken the bare ice surface. Significant secondary phenolic pigmentation (11 times the cellular content of chlorophyll </w:t>
      </w:r>
      <w:r w:rsidRPr="003532DF">
        <w:rPr>
          <w:i/>
        </w:rPr>
        <w:t>a</w:t>
      </w:r>
      <w:r w:rsidRPr="003532DF">
        <w:t xml:space="preserve">) enables glacier algae to tolerate extreme irradiance (up to </w:t>
      </w:r>
      <w:r w:rsidRPr="003532DF">
        <w:rPr>
          <w:rFonts w:ascii="Cambria Math" w:hAnsi="Cambria Math" w:cs="Cambria Math"/>
        </w:rPr>
        <w:t>∼</w:t>
      </w:r>
      <w:r w:rsidRPr="003532DF">
        <w:t xml:space="preserve">4,000 </w:t>
      </w:r>
      <w:r w:rsidRPr="003532DF">
        <w:rPr>
          <w:rFonts w:cs="Calibri"/>
        </w:rPr>
        <w:t>µ</w:t>
      </w:r>
      <w:r w:rsidRPr="003532DF">
        <w:t>mol photons</w:t>
      </w:r>
      <w:r w:rsidRPr="003532DF">
        <w:rPr>
          <w:rFonts w:ascii="Cambria Math" w:hAnsi="Cambria Math" w:cs="Cambria Math"/>
        </w:rPr>
        <w:t>⋅</w:t>
      </w:r>
      <w:r w:rsidRPr="003532DF">
        <w:t>m</w:t>
      </w:r>
      <w:r w:rsidRPr="003532DF">
        <w:rPr>
          <w:rFonts w:cs="Calibri"/>
          <w:vertAlign w:val="superscript"/>
        </w:rPr>
        <w:t>−</w:t>
      </w:r>
      <w:r w:rsidRPr="003532DF">
        <w:rPr>
          <w:vertAlign w:val="superscript"/>
        </w:rPr>
        <w:t>2</w:t>
      </w:r>
      <w:r w:rsidRPr="003532DF">
        <w:rPr>
          <w:rFonts w:ascii="Cambria Math" w:hAnsi="Cambria Math" w:cs="Cambria Math"/>
        </w:rPr>
        <w:t>⋅</w:t>
      </w:r>
      <w:r w:rsidRPr="003532DF">
        <w:t>s</w:t>
      </w:r>
      <w:r w:rsidRPr="003532DF">
        <w:rPr>
          <w:rFonts w:cs="Calibri"/>
          <w:vertAlign w:val="superscript"/>
        </w:rPr>
        <w:t>−</w:t>
      </w:r>
      <w:r w:rsidRPr="003532DF">
        <w:rPr>
          <w:vertAlign w:val="superscript"/>
        </w:rPr>
        <w:t>1</w:t>
      </w:r>
      <w:r w:rsidRPr="003532DF">
        <w:t>) while simultaneously repurposing captured ultraviolet and short-wave radiation for melt generation. Total cellular energy absorption is increased 50-fold by phenolic pigmentation, while glacier algal chloroplasts positioned beneath shading pigments remain low-light–adapted (</w:t>
      </w:r>
      <w:r w:rsidRPr="003532DF">
        <w:rPr>
          <w:i/>
        </w:rPr>
        <w:t>E</w:t>
      </w:r>
      <w:r w:rsidRPr="003532DF">
        <w:rPr>
          <w:i/>
          <w:vertAlign w:val="subscript"/>
        </w:rPr>
        <w:t>k</w:t>
      </w:r>
      <w:r w:rsidRPr="003532DF">
        <w:t xml:space="preserve"> </w:t>
      </w:r>
      <w:r w:rsidRPr="003532DF">
        <w:rPr>
          <w:rFonts w:ascii="Cambria Math" w:hAnsi="Cambria Math" w:cs="Cambria Math"/>
        </w:rPr>
        <w:t>∼</w:t>
      </w:r>
      <w:r w:rsidRPr="003532DF">
        <w:t xml:space="preserve">46 </w:t>
      </w:r>
      <w:r w:rsidRPr="003532DF">
        <w:rPr>
          <w:rFonts w:cs="Calibri"/>
        </w:rPr>
        <w:t>µ</w:t>
      </w:r>
      <w:r w:rsidRPr="003532DF">
        <w:t>mol photons</w:t>
      </w:r>
      <w:r w:rsidRPr="003532DF">
        <w:rPr>
          <w:rFonts w:ascii="Cambria Math" w:hAnsi="Cambria Math" w:cs="Cambria Math"/>
        </w:rPr>
        <w:t>⋅</w:t>
      </w:r>
      <w:r w:rsidRPr="003532DF">
        <w:t>m</w:t>
      </w:r>
      <w:r w:rsidRPr="003532DF">
        <w:rPr>
          <w:rFonts w:cs="Calibri"/>
          <w:vertAlign w:val="superscript"/>
        </w:rPr>
        <w:t>−</w:t>
      </w:r>
      <w:r w:rsidRPr="003532DF">
        <w:rPr>
          <w:vertAlign w:val="superscript"/>
        </w:rPr>
        <w:t>2</w:t>
      </w:r>
      <w:r w:rsidRPr="003532DF">
        <w:rPr>
          <w:rFonts w:ascii="Cambria Math" w:hAnsi="Cambria Math" w:cs="Cambria Math"/>
        </w:rPr>
        <w:t>⋅</w:t>
      </w:r>
      <w:r w:rsidRPr="003532DF">
        <w:t>s</w:t>
      </w:r>
      <w:r w:rsidRPr="003532DF">
        <w:rPr>
          <w:rFonts w:cs="Calibri"/>
          <w:vertAlign w:val="superscript"/>
        </w:rPr>
        <w:t>−</w:t>
      </w:r>
      <w:r w:rsidRPr="003532DF">
        <w:rPr>
          <w:vertAlign w:val="superscript"/>
        </w:rPr>
        <w:t>1</w:t>
      </w:r>
      <w:r w:rsidRPr="003532DF">
        <w:t xml:space="preserve">) and dependent upon typical nonphotochemical quenching mechanisms for photoregulation. On the GrIS, glacier algae direct only </w:t>
      </w:r>
      <w:r w:rsidRPr="003532DF">
        <w:rPr>
          <w:rFonts w:ascii="Cambria Math" w:hAnsi="Cambria Math" w:cs="Cambria Math"/>
        </w:rPr>
        <w:t>∼</w:t>
      </w:r>
      <w:r w:rsidRPr="003532DF">
        <w:t xml:space="preserve">1 to 2.4% of incident energy to photochemistry versus 48 to 65% to ice surface melting, contributing an additional </w:t>
      </w:r>
      <w:r w:rsidRPr="003532DF">
        <w:rPr>
          <w:rFonts w:ascii="Cambria Math" w:hAnsi="Cambria Math" w:cs="Cambria Math"/>
        </w:rPr>
        <w:t>∼</w:t>
      </w:r>
      <w:r w:rsidRPr="003532DF">
        <w:t>1.86 cm water equivalent surface melt per day in patches of high algal abundance (</w:t>
      </w:r>
      <w:r w:rsidRPr="003532DF">
        <w:rPr>
          <w:rFonts w:ascii="Cambria Math" w:hAnsi="Cambria Math" w:cs="Cambria Math"/>
        </w:rPr>
        <w:t>∼</w:t>
      </w:r>
      <w:r w:rsidRPr="003532DF">
        <w:t>10</w:t>
      </w:r>
      <w:r w:rsidRPr="003532DF">
        <w:rPr>
          <w:vertAlign w:val="superscript"/>
        </w:rPr>
        <w:t>4</w:t>
      </w:r>
      <w:r w:rsidRPr="003532DF">
        <w:t xml:space="preserve"> cells</w:t>
      </w:r>
      <w:r w:rsidRPr="003532DF">
        <w:rPr>
          <w:rFonts w:ascii="Cambria Math" w:hAnsi="Cambria Math" w:cs="Cambria Math"/>
        </w:rPr>
        <w:t>⋅</w:t>
      </w:r>
      <w:r w:rsidRPr="003532DF">
        <w:t>mL</w:t>
      </w:r>
      <w:r w:rsidRPr="003532DF">
        <w:rPr>
          <w:rFonts w:cs="Calibri"/>
          <w:vertAlign w:val="superscript"/>
        </w:rPr>
        <w:t>−</w:t>
      </w:r>
      <w:r w:rsidRPr="003532DF">
        <w:rPr>
          <w:vertAlign w:val="superscript"/>
        </w:rPr>
        <w:t>1</w:t>
      </w:r>
      <w:r w:rsidRPr="003532DF">
        <w:t>). At the regional scale, surface darkening is driven by the direct and indirect impacts of glacier algae on ice albedo, with a significant negative relationship between broadband albedo (Moderate Resolution Imaging Spectroradiometer [MODIS]) and glacier algal biomass (</w:t>
      </w:r>
      <w:r w:rsidRPr="003532DF">
        <w:rPr>
          <w:i/>
        </w:rPr>
        <w:t>R</w:t>
      </w:r>
      <w:r w:rsidRPr="003532DF">
        <w:rPr>
          <w:vertAlign w:val="superscript"/>
        </w:rPr>
        <w:t>2</w:t>
      </w:r>
      <w:r w:rsidRPr="003532DF">
        <w:t xml:space="preserve"> = 0.75, </w:t>
      </w:r>
      <w:r w:rsidRPr="003532DF">
        <w:rPr>
          <w:i/>
        </w:rPr>
        <w:t>n</w:t>
      </w:r>
      <w:r w:rsidRPr="003532DF">
        <w:t xml:space="preserve"> = 149), indicating that up to 75% </w:t>
      </w:r>
      <w:r w:rsidRPr="003532DF">
        <w:lastRenderedPageBreak/>
        <w:t>of the variability in albedo across the southwestern GrIS may be attributable to the presence of glacier algae.</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Winkler, R., </w:t>
      </w:r>
      <w:r w:rsidR="00616347">
        <w:t xml:space="preserve">2020. </w:t>
      </w:r>
      <w:r w:rsidRPr="003532DF">
        <w:t>Processing Metabolomics and Proteomics Data with Open Software: A Practical Guide New Developments in Mass Spectrometry. Royal Society of Chemistry, p. 441.</w:t>
      </w:r>
    </w:p>
    <w:p w:rsidR="00DB42FE" w:rsidRPr="003532DF" w:rsidRDefault="00DB42FE" w:rsidP="00616347">
      <w:pPr>
        <w:pStyle w:val="EndNoteBibliography"/>
        <w:ind w:left="360"/>
      </w:pPr>
      <w:r w:rsidRPr="003532DF">
        <w:t xml:space="preserve">https://doi.org/10.1039/9781788019880 </w:t>
      </w:r>
    </w:p>
    <w:p w:rsidR="00DB42FE" w:rsidRPr="003532DF" w:rsidRDefault="00DB42FE" w:rsidP="00616347">
      <w:pPr>
        <w:pStyle w:val="EndNoteBibliography"/>
        <w:ind w:left="360"/>
      </w:pPr>
      <w:r w:rsidRPr="003532DF">
        <w:t>Metabolomics and proteomics allow deep insights into the chemistry and physiology of biological systems. This book expounds open-source programs, platforms and programming tools for analysing metabolomics and proteomics mass spectrometry data. In contrast to commercial software, open-source software is created by the academic community, which facilitates the direct interaction between users and developers and accelerates the implementation of new concepts and ideas. The first section of the book covers the basics of mass spectrometry, experimental strategies, data operations, the open-source philosophy, metabolomics, proteomics and statistics/ data mining. In the second section, active programmers and users describe available software packages. Included tutorials, datasets and code examples can be used for training and for building custom workflows. Finally, every reader is invited to participate in the open science movement.</w:t>
      </w:r>
    </w:p>
    <w:p w:rsidR="00DB42FE" w:rsidRPr="003532DF" w:rsidRDefault="00DB42FE" w:rsidP="001C7498">
      <w:pPr>
        <w:pStyle w:val="EndNoteBibliography"/>
        <w:spacing w:after="0"/>
        <w:ind w:left="1440" w:hanging="1080"/>
      </w:pPr>
      <w:r w:rsidRPr="003532DF">
        <w:t>Chapter 1 : Introduction, Robert Winkler, 1-25</w:t>
      </w:r>
    </w:p>
    <w:p w:rsidR="00DB42FE" w:rsidRPr="003532DF" w:rsidRDefault="00DB42FE" w:rsidP="001C7498">
      <w:pPr>
        <w:pStyle w:val="EndNoteBibliography"/>
        <w:spacing w:after="0"/>
        <w:ind w:left="1440" w:hanging="1080"/>
      </w:pPr>
      <w:r w:rsidRPr="003532DF">
        <w:t>Chapter 2 : Mass Spectrometry Data Operations and Workflows, Magnus Palmblad, 26-40</w:t>
      </w:r>
    </w:p>
    <w:p w:rsidR="00DB42FE" w:rsidRPr="003532DF" w:rsidRDefault="00DB42FE" w:rsidP="001C7498">
      <w:pPr>
        <w:pStyle w:val="EndNoteBibliography"/>
        <w:spacing w:after="0"/>
        <w:ind w:left="1440" w:hanging="1080"/>
      </w:pPr>
      <w:r w:rsidRPr="003532DF">
        <w:t>Chapter 3 : Metabolomics, David S. Wishart, Joanna Godzien, Alberto Gil-de-la-Fuente, Rupasri Mandal, Rahmatollah Rajabzadeh, Hamed Pirimoghadam, Carol Ladner-Keay, Abraham Otero and Coral Barbas, 41-95</w:t>
      </w:r>
    </w:p>
    <w:p w:rsidR="00DB42FE" w:rsidRPr="003532DF" w:rsidRDefault="00DB42FE" w:rsidP="001C7498">
      <w:pPr>
        <w:pStyle w:val="EndNoteBibliography"/>
        <w:spacing w:after="0"/>
        <w:ind w:left="1440" w:hanging="1080"/>
      </w:pPr>
      <w:r w:rsidRPr="003532DF">
        <w:t>Chapter 4 : Proteomics, Marc Vaudel, 96-119</w:t>
      </w:r>
    </w:p>
    <w:p w:rsidR="00DB42FE" w:rsidRPr="003532DF" w:rsidRDefault="00DB42FE" w:rsidP="001C7498">
      <w:pPr>
        <w:pStyle w:val="EndNoteBibliography"/>
        <w:spacing w:after="0"/>
        <w:ind w:left="1440" w:hanging="1080"/>
      </w:pPr>
      <w:r w:rsidRPr="003532DF">
        <w:t>Chapter 5 : Statistics, Data Mining and Modeling, Miguel Reboiro-Jato, Daniel Glez-Peña and Hugo López-Fernández, 120-200</w:t>
      </w:r>
    </w:p>
    <w:p w:rsidR="00DB42FE" w:rsidRPr="003532DF" w:rsidRDefault="00DB42FE" w:rsidP="001C7498">
      <w:pPr>
        <w:pStyle w:val="EndNoteBibliography"/>
        <w:spacing w:after="0"/>
        <w:ind w:left="1440" w:hanging="1080"/>
      </w:pPr>
      <w:r w:rsidRPr="003532DF">
        <w:t>Chapter 6 : OpenMS and KNIME for Mass Spectrometry Data Processing, Oliver Alka, Timo Sachsenberg, Leon Bichmann, Julianus Pfeuffer, Hendrik Weisser, Samuel Wein, Eugen Netz, Marc Rurik, Oliver Kohlbacher and Hannes Röst, 201-231</w:t>
      </w:r>
    </w:p>
    <w:p w:rsidR="00DB42FE" w:rsidRPr="003532DF" w:rsidRDefault="00DB42FE" w:rsidP="001C7498">
      <w:pPr>
        <w:pStyle w:val="EndNoteBibliography"/>
        <w:spacing w:after="0"/>
        <w:ind w:left="1440" w:hanging="1080"/>
      </w:pPr>
      <w:r w:rsidRPr="003532DF">
        <w:t>Chapter 7 : Metabolomics Data Analysis Using MZmine, Tomáš Pluskal, Ansgar Korf, Aleksandr Smirnov, Robin Schmid, Timothy R. Fallon, Xiuxia Du and Jing-Ke Weng, 232-254</w:t>
      </w:r>
    </w:p>
    <w:p w:rsidR="00DB42FE" w:rsidRPr="003532DF" w:rsidRDefault="00DB42FE" w:rsidP="001C7498">
      <w:pPr>
        <w:pStyle w:val="EndNoteBibliography"/>
        <w:spacing w:after="0"/>
        <w:ind w:left="1440" w:hanging="1080"/>
      </w:pPr>
      <w:r w:rsidRPr="003532DF">
        <w:t>Chapter 8 : Pre-processing and Analysis of Metabolomics Data with XCMS/R and XCMS Online, Laila Pamela Partida-Martínez and Robert Winkler, 255-280</w:t>
      </w:r>
    </w:p>
    <w:p w:rsidR="00DB42FE" w:rsidRPr="003532DF" w:rsidRDefault="00DB42FE" w:rsidP="001C7498">
      <w:pPr>
        <w:pStyle w:val="EndNoteBibliography"/>
        <w:spacing w:after="0"/>
        <w:ind w:left="1440" w:hanging="1080"/>
      </w:pPr>
      <w:r w:rsidRPr="003532DF">
        <w:t>Chapter 9 : Statistical Evaluation and Integration of Multi-omics Data with MetaboAnalyst, David S. Wishart, 281-301</w:t>
      </w:r>
    </w:p>
    <w:p w:rsidR="00DB42FE" w:rsidRPr="003532DF" w:rsidRDefault="00DB42FE" w:rsidP="001C7498">
      <w:pPr>
        <w:pStyle w:val="EndNoteBibliography"/>
        <w:spacing w:after="0"/>
        <w:ind w:left="1440" w:hanging="1080"/>
      </w:pPr>
      <w:r w:rsidRPr="003532DF">
        <w:t>Chapter 10 : Modular metaX Pipeline for Processing Untargeted Metabolomics Data, Bo Wen, 302-314</w:t>
      </w:r>
    </w:p>
    <w:p w:rsidR="00DB42FE" w:rsidRPr="003532DF" w:rsidRDefault="00DB42FE" w:rsidP="001C7498">
      <w:pPr>
        <w:pStyle w:val="EndNoteBibliography"/>
        <w:spacing w:after="0"/>
        <w:ind w:left="1440" w:hanging="1080"/>
      </w:pPr>
      <w:r w:rsidRPr="003532DF">
        <w:t>Chapter 11 : Metabolite Annotation With CEU Mass Mediator, Alberto Gil-de-la-Fuente, Joanna Godzien, Abraham Otero and Coral Barbas, 315-322</w:t>
      </w:r>
    </w:p>
    <w:p w:rsidR="00DB42FE" w:rsidRPr="003532DF" w:rsidRDefault="00DB42FE" w:rsidP="001C7498">
      <w:pPr>
        <w:pStyle w:val="EndNoteBibliography"/>
        <w:spacing w:after="0"/>
        <w:ind w:left="1440" w:hanging="1080"/>
      </w:pPr>
      <w:r w:rsidRPr="003532DF">
        <w:t>Chapter 12 : Metabolite Annotation Using In Silico Generated Compounds: MINE and BioTransformer, Alberto Gil-de-la-Fuente, Joanna Godzien, Abraham Otero and Coral Barbas, 333-344</w:t>
      </w:r>
    </w:p>
    <w:p w:rsidR="00DB42FE" w:rsidRPr="003532DF" w:rsidRDefault="00DB42FE" w:rsidP="001C7498">
      <w:pPr>
        <w:pStyle w:val="EndNoteBibliography"/>
        <w:spacing w:after="0"/>
        <w:ind w:left="1440" w:hanging="1080"/>
      </w:pPr>
      <w:r w:rsidRPr="003532DF">
        <w:t>Chapter 13 : Trans-Proteomic Pipeline for the Identification, Validation, and Quantification of Proteins, Eric W. Deutsch, Luis Mendoza, David D. Shteynberg, Zhi Sun, Michael H. Hoopmann and Robert L. Moritz, 345-370</w:t>
      </w:r>
    </w:p>
    <w:p w:rsidR="00DB42FE" w:rsidRPr="003532DF" w:rsidRDefault="00DB42FE" w:rsidP="001C7498">
      <w:pPr>
        <w:pStyle w:val="EndNoteBibliography"/>
        <w:spacing w:after="0"/>
        <w:ind w:left="1440" w:hanging="1080"/>
      </w:pPr>
      <w:r w:rsidRPr="003532DF">
        <w:t>Chapter 14 : Quantitative Proteomics Data Analysis with PANDA, LFAQ and PANDA-view, Kaikun Xu and Cheng Chang, 371-380</w:t>
      </w:r>
    </w:p>
    <w:p w:rsidR="00DB42FE" w:rsidRPr="003532DF" w:rsidRDefault="00DB42FE" w:rsidP="001C7498">
      <w:pPr>
        <w:pStyle w:val="EndNoteBibliography"/>
        <w:spacing w:after="0"/>
        <w:ind w:left="1440" w:hanging="1080"/>
      </w:pPr>
      <w:r w:rsidRPr="003532DF">
        <w:lastRenderedPageBreak/>
        <w:t>Chapter 15 : Proteomic Workflows with R/ R Markdown, Magnus Palmblad and Cesaré Ovando-Vázquez, 381-398</w:t>
      </w:r>
    </w:p>
    <w:p w:rsidR="00DB42FE" w:rsidRPr="003532DF" w:rsidRDefault="00DB42FE" w:rsidP="001C7498">
      <w:pPr>
        <w:pStyle w:val="EndNoteBibliography"/>
        <w:spacing w:after="0"/>
        <w:ind w:left="1440" w:hanging="1080"/>
      </w:pPr>
      <w:r w:rsidRPr="003532DF">
        <w:t>Chapter 16 : Python in Proteomics, Hannes L. Röst, 399-405</w:t>
      </w:r>
    </w:p>
    <w:p w:rsidR="00DB42FE" w:rsidRPr="003532DF" w:rsidRDefault="00DB42FE" w:rsidP="001C7498">
      <w:pPr>
        <w:pStyle w:val="EndNoteBibliography"/>
        <w:spacing w:after="0"/>
        <w:ind w:left="1440" w:hanging="1080"/>
      </w:pPr>
      <w:r w:rsidRPr="003532DF">
        <w:t>Chapter 17 : Mass Spectrometry Development Kit (MSDK): a Java Library for Mass Spectrometry Data Processing, Tomáš Pluskal, Nils Hoffmann, Xiuxia Du and Jing-Ke Weng, 406-414</w:t>
      </w:r>
    </w:p>
    <w:p w:rsidR="00DB42FE" w:rsidRPr="003532DF" w:rsidRDefault="00DB42FE" w:rsidP="001C7498">
      <w:pPr>
        <w:pStyle w:val="EndNoteBibliography"/>
        <w:spacing w:after="0"/>
        <w:ind w:left="1440" w:hanging="1080"/>
      </w:pPr>
      <w:r w:rsidRPr="003532DF">
        <w:t>Chapter 18 : MASSyPup64: Linux Live System for Mass Spectrometry Data Processing, Robert Winkler, 406-414</w:t>
      </w:r>
    </w:p>
    <w:p w:rsidR="00DB42FE" w:rsidRPr="003532DF" w:rsidRDefault="00DB42FE" w:rsidP="001C7498">
      <w:pPr>
        <w:pStyle w:val="EndNoteBibliography"/>
        <w:spacing w:after="0"/>
        <w:ind w:left="1440" w:hanging="1080"/>
      </w:pPr>
      <w:r w:rsidRPr="003532DF">
        <w:t>Chapter 19 : Cross-platform Software Development and Distribution with Bioconda and BioContainers, Yasset Perez-Riverol, Olivier Sallou and Björn A. Grüning, 415-426</w:t>
      </w:r>
    </w:p>
    <w:p w:rsidR="00DB42FE" w:rsidRPr="003532DF" w:rsidRDefault="00DB42FE" w:rsidP="001C7498">
      <w:pPr>
        <w:pStyle w:val="EndNoteBibliography"/>
        <w:spacing w:after="0"/>
        <w:ind w:left="1440" w:hanging="1080"/>
      </w:pPr>
      <w:r w:rsidRPr="003532DF">
        <w:t>Chapter 20 : Concluding Remarks and Perspectives, Robert Winkler, 427-430</w:t>
      </w:r>
    </w:p>
    <w:p w:rsidR="00DB42FE" w:rsidRPr="003532DF" w:rsidRDefault="00DB42FE" w:rsidP="001C7498">
      <w:pPr>
        <w:pStyle w:val="EndNoteBibliography"/>
        <w:spacing w:after="0"/>
        <w:ind w:left="1440" w:hanging="1080"/>
      </w:pPr>
      <w:r w:rsidRPr="003532DF">
        <w:t>Subject Index, 431-441</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Witzany, G., </w:t>
      </w:r>
      <w:r w:rsidR="00616347">
        <w:t xml:space="preserve">2020. </w:t>
      </w:r>
      <w:r w:rsidRPr="003532DF">
        <w:t>What is Life? Frontiers in Astronomy and Space Sciences 7, 7. doi: 10.3389/fspas.2020.00007.</w:t>
      </w:r>
    </w:p>
    <w:p w:rsidR="00DB42FE" w:rsidRPr="003532DF" w:rsidRDefault="00DB42FE" w:rsidP="00616347">
      <w:pPr>
        <w:pStyle w:val="EndNoteBibliography"/>
        <w:ind w:left="360"/>
      </w:pPr>
      <w:r w:rsidRPr="003532DF">
        <w:t>https://www.frontiersin.org/article/10.3389/fspas.2020.00007</w:t>
      </w:r>
    </w:p>
    <w:p w:rsidR="00DB42FE" w:rsidRPr="003532DF" w:rsidRDefault="00DB42FE" w:rsidP="00616347">
      <w:pPr>
        <w:pStyle w:val="EndNoteBibliography"/>
        <w:spacing w:after="0"/>
        <w:ind w:left="360"/>
      </w:pPr>
      <w:r w:rsidRPr="003532DF">
        <w:t>In searching for life in extraterrestrial space, it is essential to act based on an unequivocal definition of life. In the twentieth century, life was defined as cells that self-replicate, metabolize, and are open for mutations, without which genetic information would remain unchangeable, and evolution would be impossible. Current definitions of life derive from statistical mechanics, physics, and chemistry of the twentieth century in which life is considered to function machine like, ignoring a central role of communication. Recent observations show that context-dependent meaningful communication and network formation (and control) are central to all life forms. Evolutionary relevant new nucleotide sequences now appear to have originated from social agents such as viruses, their parasitic relatives, and related RNA networks, not from errors. By applying the known features of natural languages and communication, a new twenty-first century definition of life can be reached in which communicative interactions are central to all processes of life. A new definition of life must integrate the current empirical knowledge about interactions between cells, viruses, and RNA networks to provide a better explanatory power than the twentieth century narrative.</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Wu, C.-Y., Hsieh, B.-Z., </w:t>
      </w:r>
      <w:r w:rsidR="00616347">
        <w:t xml:space="preserve">2020. </w:t>
      </w:r>
      <w:r w:rsidRPr="003532DF">
        <w:t>Comparisons of different simulated hydrate designs for Class-1 gas hydrate deposits. Journal of Natural Gas Science and Engineering 77, 103225.</w:t>
      </w:r>
    </w:p>
    <w:p w:rsidR="00DB42FE" w:rsidRPr="003532DF" w:rsidRDefault="00DB42FE" w:rsidP="00616347">
      <w:pPr>
        <w:pStyle w:val="EndNoteBibliography"/>
        <w:ind w:left="360"/>
      </w:pPr>
      <w:r w:rsidRPr="003532DF">
        <w:t>http://www.sciencedirect.com/science/article/pii/S1875510020300792</w:t>
      </w:r>
    </w:p>
    <w:p w:rsidR="00DB42FE" w:rsidRPr="003532DF" w:rsidRDefault="00DB42FE" w:rsidP="00616347">
      <w:pPr>
        <w:pStyle w:val="EndNoteBibliography"/>
        <w:ind w:left="360"/>
      </w:pPr>
      <w:r w:rsidRPr="003532DF">
        <w:t>Hydrates can be modeled as an extremely-high-viscosity oil-phase component or a solid-phase component. The fact of the support from a solid hydrate on the formation strength can be proved by comparing different hydrate phase design models. The purpose of this study is to compare the production behaviors and geomechanics effects between the oil-phase and the solid-phase hydrate models in order to investigate the support of solid hydrates on the formation deformation and seabed subsidence.</w:t>
      </w:r>
    </w:p>
    <w:p w:rsidR="00DB42FE" w:rsidRPr="003532DF" w:rsidRDefault="00DB42FE" w:rsidP="00616347">
      <w:pPr>
        <w:pStyle w:val="EndNoteBibliography"/>
        <w:spacing w:after="0"/>
        <w:ind w:left="360"/>
      </w:pPr>
      <w:r w:rsidRPr="003532DF">
        <w:t xml:space="preserve">In this study, a modification method is proposed to modify the parameters of initial flowing-phase saturations and the corresponding relative permeability curves used in the solid-phase hydrate model to avoid a problem of overestimated water production and to achieve the calculation agreement between two different hydrate design models. The effects of different hydrate phase designs on the production profiles and the formation deformation of a Class-1 hydrate deposit is </w:t>
      </w:r>
      <w:r w:rsidRPr="003532DF">
        <w:lastRenderedPageBreak/>
        <w:t>studied in the cases with coupling the geomechanics module. We found that the cumulative gas production is slightly higher in the coupled solid-phase hydrate model than that in the coupled oil-phase hydrate model. The observations of the seabed subsidence from the two coupled hydrate models show that the quantity of seabed subsidence of the coupled solid-phase hydrate model is lower than that of the coupled oil-phase hydrate model, which leads to the proven of the fact of the support of solid hydrates on the formation strength.</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Wu, J., Zhang, W., Ma, C., Ren, L., Li, S., Zhang, Y., Shi, Q., </w:t>
      </w:r>
      <w:r w:rsidR="00616347">
        <w:t xml:space="preserve">2020. </w:t>
      </w:r>
      <w:r w:rsidRPr="003532DF">
        <w:t>Separation and characterization of squalene and carotenoids derived sulfides in a low mature crude oil. Fuel 270, 117536.</w:t>
      </w:r>
    </w:p>
    <w:p w:rsidR="00DB42FE" w:rsidRPr="003532DF" w:rsidRDefault="00DB42FE" w:rsidP="00616347">
      <w:pPr>
        <w:pStyle w:val="EndNoteBibliography"/>
        <w:ind w:left="360"/>
      </w:pPr>
      <w:r w:rsidRPr="003532DF">
        <w:t>http://www.sciencedirect.com/science/article/pii/S0016236120305317</w:t>
      </w:r>
    </w:p>
    <w:p w:rsidR="00DB42FE" w:rsidRPr="003532DF" w:rsidRDefault="00DB42FE" w:rsidP="00616347">
      <w:pPr>
        <w:pStyle w:val="EndNoteBibliography"/>
        <w:spacing w:after="0"/>
        <w:ind w:left="360"/>
      </w:pPr>
      <w:r w:rsidRPr="003532DF">
        <w:t>An unusual distribution on molecular composition of organic sulfur compounds (OSCs) was found in a crude oil from the Bohai Bay Basin (China) that contains negligible thiophenic sulfur compounds but abundant in C</w:t>
      </w:r>
      <w:r w:rsidRPr="003532DF">
        <w:rPr>
          <w:vertAlign w:val="subscript"/>
        </w:rPr>
        <w:t>30</w:t>
      </w:r>
      <w:r w:rsidRPr="003532DF">
        <w:t xml:space="preserve"> and C</w:t>
      </w:r>
      <w:r w:rsidRPr="003532DF">
        <w:rPr>
          <w:vertAlign w:val="subscript"/>
        </w:rPr>
        <w:t>40</w:t>
      </w:r>
      <w:r w:rsidRPr="003532DF">
        <w:t xml:space="preserve"> sulfides. The sulfides were separated from the crude oil by methylation/demethylation method and characterized by gas chromatography-mass spectrometry (GC–MS) and Fourier transform ion cyclotron resonance mass spectrometry (FT-ICR MS). A novel series of C</w:t>
      </w:r>
      <w:r w:rsidRPr="003532DF">
        <w:rPr>
          <w:vertAlign w:val="subscript"/>
        </w:rPr>
        <w:t>30</w:t>
      </w:r>
      <w:r w:rsidRPr="003532DF">
        <w:t xml:space="preserve"> OSCs that possess a bio-precursor of squalene were identified. The lexene (C</w:t>
      </w:r>
      <w:r w:rsidRPr="003532DF">
        <w:rPr>
          <w:vertAlign w:val="subscript"/>
        </w:rPr>
        <w:t>33</w:t>
      </w:r>
      <w:r w:rsidRPr="003532DF">
        <w:t>) derived OSC was also identified for the first time in the crude oil, which indicates a strictly anaerobic condition during the early diagenesis of the source rock. Most C</w:t>
      </w:r>
      <w:r w:rsidRPr="003532DF">
        <w:rPr>
          <w:vertAlign w:val="subscript"/>
        </w:rPr>
        <w:t>40</w:t>
      </w:r>
      <w:r w:rsidRPr="003532DF">
        <w:t xml:space="preserve"> sulfur compounds were verified to be sulfides having a </w:t>
      </w:r>
      <w:r w:rsidRPr="003532DF">
        <w:rPr>
          <w:i/>
        </w:rPr>
        <w:t>β</w:t>
      </w:r>
      <w:r w:rsidRPr="003532DF">
        <w:t>-carotane skeleton. Most identified sulfides possess a thiolane group with a quaternary carbon atom or a thiane group within their carbon skeletons.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Wu, Y., Hyodo, M., Cui, J., </w:t>
      </w:r>
      <w:r w:rsidR="00616347">
        <w:t xml:space="preserve">2020. </w:t>
      </w:r>
      <w:r w:rsidRPr="003532DF">
        <w:t>On the critical state characteristics of methane hydrate-bearing sediments. Marine and Petroleum Geology 116, 104342.</w:t>
      </w:r>
    </w:p>
    <w:p w:rsidR="00DB42FE" w:rsidRPr="003532DF" w:rsidRDefault="00DB42FE" w:rsidP="00616347">
      <w:pPr>
        <w:pStyle w:val="EndNoteBibliography"/>
        <w:ind w:left="360"/>
      </w:pPr>
      <w:r w:rsidRPr="003532DF">
        <w:t>http://www.sciencedirect.com/science/article/pii/S0264817220301252</w:t>
      </w:r>
    </w:p>
    <w:p w:rsidR="00DB42FE" w:rsidRPr="003532DF" w:rsidRDefault="00DB42FE" w:rsidP="00616347">
      <w:pPr>
        <w:pStyle w:val="EndNoteBibliography"/>
        <w:spacing w:after="0"/>
        <w:ind w:left="360"/>
      </w:pPr>
      <w:r w:rsidRPr="003532DF">
        <w:t>Reasonable prediction of marine ground stability is vital for the safe exploitation of methane gas from the seabed and development of relevant technologies for gas production. Constitutive models based on a critical state soil mechanics framework for methane hydrate-bearing sediments have been proposed in recent decades. They required careful calibration of laboratory results to obtain accurate information on model parameters. This study presents a comprehensive analysis of triaxial shear test data to examine the effects of hydrate saturation on the geomechanical characteristics of methane hydrate-bearing sediments, particularly at the critical state. Multiple critical state lines are identified for methane hydrate-bearing sediments with different levels of hydrate saturation on the specific volume and logarithm of mean stress plane. A rise in hydrate saturation shifts the critical state line of methane hydrate-bearing sediments upward and slightly increases the gradient of critical state line in the v−lnp′ plane. Non-unique critical state lines are observed for methane hydrate-bearing sediments under plane-strain loading conditions. Considering methane hydrate saturation as an extra dimension of critical states, the critical state line in the plane of specific volume and logarithm of mean stress, becomes a three-dimensional critical state surface.</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Xavier, J.C., Hordijk, W., Kauffman, S., Steel, M., Martin, W.F., </w:t>
      </w:r>
      <w:r w:rsidR="00616347">
        <w:t xml:space="preserve">2020. </w:t>
      </w:r>
      <w:r w:rsidRPr="003532DF">
        <w:t>Autocatalytic chemical networks at the origin of metabolism. Proceedings of the Royal Society B: Biological Sciences 287, 20192377.</w:t>
      </w:r>
    </w:p>
    <w:p w:rsidR="00DB42FE" w:rsidRPr="003532DF" w:rsidRDefault="00DB42FE" w:rsidP="00616347">
      <w:pPr>
        <w:pStyle w:val="EndNoteBibliography"/>
        <w:ind w:left="360"/>
      </w:pPr>
      <w:r w:rsidRPr="003532DF">
        <w:t>https://doi.org/10.1098/rspb.2019.2377</w:t>
      </w:r>
    </w:p>
    <w:p w:rsidR="00DB42FE" w:rsidRPr="003532DF" w:rsidRDefault="00DB42FE" w:rsidP="00616347">
      <w:pPr>
        <w:pStyle w:val="EndNoteBibliography"/>
        <w:spacing w:after="0"/>
        <w:ind w:left="360"/>
      </w:pPr>
      <w:r w:rsidRPr="003532DF">
        <w:lastRenderedPageBreak/>
        <w:t>Modern cells embody metabolic networks containing thousands of elements and form autocatalytic sets of molecules that produce copies of themselves. How the first self-sustaining metabolic networks arose at life's origin is a major open question. Autocatalytic sets smaller than metabolic networks were proposed as transitory intermediates at the origin of life, but evidence for their role in prebiotic evolution is lacking. Here, we identify reflexively autocatalytic food-generated networks (RAFs)—self-sustaining networks that collectively catalyse all their reactions—embedded within microbial metabolism. RAFs in the metabolism of ancient anaerobic autotrophs that live from H</w:t>
      </w:r>
      <w:r w:rsidRPr="003532DF">
        <w:rPr>
          <w:vertAlign w:val="subscript"/>
        </w:rPr>
        <w:t>2</w:t>
      </w:r>
      <w:r w:rsidRPr="003532DF">
        <w:t xml:space="preserve"> and CO</w:t>
      </w:r>
      <w:r w:rsidRPr="003532DF">
        <w:rPr>
          <w:vertAlign w:val="subscript"/>
        </w:rPr>
        <w:t>2</w:t>
      </w:r>
      <w:r w:rsidRPr="003532DF">
        <w:t xml:space="preserve"> provided with small-molecule catalysts generate acetyl-CoA as well as amino acids and bases, the monomeric components of protein and RNA, but amino acids and bases without organic catalysts do not generate metabolic RAFs. This suggests that RAFs identify attributes of biochemical origins conserved in metabolic networks. RAFs are consistent with an autotrophic origin of metabolism and furthermore indicate that autocatalytic chemical networks preceded proteins and RNA in evolution. RAFs uncover intermediate stages in the emergence of metabolic networks, narrowing the gaps between early Earth chemistry and life.</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Xia, M., Bao, P., Peng, T., Liu, A., Shen, L., Yu, R., Liu, Y., Li, J., Wu, X., Huang, C., Chen, M., Qiu, G., Zeng, W., </w:t>
      </w:r>
      <w:r w:rsidR="00616347">
        <w:t xml:space="preserve">2020. </w:t>
      </w:r>
      <w:r w:rsidRPr="003532DF">
        <w:t xml:space="preserve">Exploration of potential jarosite biomineralization mechanism based on extracellular polymer substances of </w:t>
      </w:r>
      <w:r w:rsidRPr="003532DF">
        <w:rPr>
          <w:i/>
        </w:rPr>
        <w:t>Purpureocillium lilacinum</w:t>
      </w:r>
      <w:r w:rsidRPr="003532DF">
        <w:t xml:space="preserve"> Y3. International Biodeterioration &amp; Biodegradation 150, 104941.</w:t>
      </w:r>
    </w:p>
    <w:p w:rsidR="00DB42FE" w:rsidRPr="003532DF" w:rsidRDefault="00DB42FE" w:rsidP="00616347">
      <w:pPr>
        <w:pStyle w:val="EndNoteBibliography"/>
        <w:ind w:left="360"/>
      </w:pPr>
      <w:r w:rsidRPr="003532DF">
        <w:t>http://www.sciencedirect.com/science/article/pii/S096483051931368X</w:t>
      </w:r>
    </w:p>
    <w:p w:rsidR="00DB42FE" w:rsidRPr="003532DF" w:rsidRDefault="00DB42FE" w:rsidP="00616347">
      <w:pPr>
        <w:pStyle w:val="EndNoteBibliography"/>
        <w:spacing w:after="0"/>
        <w:ind w:left="360"/>
      </w:pPr>
      <w:r w:rsidRPr="003532DF">
        <w:t xml:space="preserve">In the present study, the mechanism of jarosite biosynthesis mediated by extracellular polymer substances (EPSs) of </w:t>
      </w:r>
      <w:r w:rsidRPr="003532DF">
        <w:rPr>
          <w:i/>
        </w:rPr>
        <w:t>Purpureocillium lilacinum</w:t>
      </w:r>
      <w:r w:rsidRPr="003532DF">
        <w:t xml:space="preserve"> strain Y3 at gene level was investigated. Yellow-ocher jarosite minerals covered mycelia pellets entirely within 72h, corresponding to a reduction of Fe</w:t>
      </w:r>
      <w:r w:rsidRPr="003532DF">
        <w:rPr>
          <w:vertAlign w:val="superscript"/>
        </w:rPr>
        <w:t>3+</w:t>
      </w:r>
      <w:r w:rsidRPr="003532DF">
        <w:t xml:space="preserve"> of 70.9% in the biomineralization process induced by </w:t>
      </w:r>
      <w:r w:rsidRPr="003532DF">
        <w:rPr>
          <w:i/>
        </w:rPr>
        <w:t>P. lilacinum</w:t>
      </w:r>
      <w:r w:rsidRPr="003532DF">
        <w:t xml:space="preserve"> Y3. The maximum biomass accumulation reached to 12.9 g/L in pure culture, 2.8 g/L with only 0.02M Fe</w:t>
      </w:r>
      <w:r w:rsidRPr="003532DF">
        <w:rPr>
          <w:vertAlign w:val="superscript"/>
        </w:rPr>
        <w:t>3+</w:t>
      </w:r>
      <w:r w:rsidRPr="003532DF">
        <w:t xml:space="preserve"> addition, and 6.4 g/L with both 0.02M Fe</w:t>
      </w:r>
      <w:r w:rsidRPr="003532DF">
        <w:rPr>
          <w:vertAlign w:val="superscript"/>
        </w:rPr>
        <w:t>3+</w:t>
      </w:r>
      <w:r w:rsidRPr="003532DF">
        <w:t xml:space="preserve"> and 0.1M K</w:t>
      </w:r>
      <w:r w:rsidRPr="003532DF">
        <w:rPr>
          <w:vertAlign w:val="superscript"/>
        </w:rPr>
        <w:t>+</w:t>
      </w:r>
      <w:r w:rsidRPr="003532DF">
        <w:t xml:space="preserve"> addition, respectively, indicating that jarosite biosynthesis largely alleviated the inhibition of Fe</w:t>
      </w:r>
      <w:r w:rsidRPr="003532DF">
        <w:rPr>
          <w:vertAlign w:val="superscript"/>
        </w:rPr>
        <w:t>3+</w:t>
      </w:r>
      <w:r w:rsidRPr="003532DF">
        <w:t xml:space="preserve"> to the fungal strain. Thereafter, the analysis of EPSs compositions suggested that protein content was affected more evidently than polysaccharides in the biomineralization system. Furthermore, real time quantitative PCR assays revealed that signal transduction genes and abundance of membrane transporters were activated quickly in responding to the stimulation of Fe</w:t>
      </w:r>
      <w:r w:rsidRPr="003532DF">
        <w:rPr>
          <w:vertAlign w:val="superscript"/>
        </w:rPr>
        <w:t>3+</w:t>
      </w:r>
      <w:r w:rsidRPr="003532DF">
        <w:t xml:space="preserve"> and fungus-mineral interactions. Then, the expression of adhesive proteins and extracellular proteins was highly up-regulated to facilitate the formation of jarosite minerals on the cell surface. Finally, X-ray photoelectron spectroscopy analysis supported that amine, carboxyl, phosphate groups present on the mycelia provided Fe</w:t>
      </w:r>
      <w:r w:rsidRPr="003532DF">
        <w:rPr>
          <w:vertAlign w:val="superscript"/>
        </w:rPr>
        <w:t>3+</w:t>
      </w:r>
      <w:r w:rsidRPr="003532DF">
        <w:t xml:space="preserve"> and K</w:t>
      </w:r>
      <w:r w:rsidRPr="003532DF">
        <w:rPr>
          <w:vertAlign w:val="superscript"/>
        </w:rPr>
        <w:t>+</w:t>
      </w:r>
      <w:r w:rsidRPr="003532DF">
        <w:t xml:space="preserve"> binding sites for biosynthesis of jarosite.</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Xiao, Q., She, Z., Wang, G., Li, Y., Ouyang, G., Cao, K., Mason, R., Du, Y., </w:t>
      </w:r>
      <w:r w:rsidR="00616347">
        <w:t xml:space="preserve">2020. </w:t>
      </w:r>
      <w:r w:rsidRPr="003532DF">
        <w:t>Terminal Ediacaran carbonate tempestites in the eastern Yangtze Gorges area, South China. Palaeogeography, Palaeoclimatology, Palaeoecology 547, 109681.</w:t>
      </w:r>
    </w:p>
    <w:p w:rsidR="00DB42FE" w:rsidRPr="003532DF" w:rsidRDefault="00DB42FE" w:rsidP="00616347">
      <w:pPr>
        <w:pStyle w:val="EndNoteBibliography"/>
        <w:ind w:left="360"/>
      </w:pPr>
      <w:r w:rsidRPr="003532DF">
        <w:t>http://www.sciencedirect.com/science/article/pii/S0031018220301267</w:t>
      </w:r>
    </w:p>
    <w:p w:rsidR="00DB42FE" w:rsidRPr="003532DF" w:rsidRDefault="00DB42FE" w:rsidP="00616347">
      <w:pPr>
        <w:pStyle w:val="EndNoteBibliography"/>
        <w:spacing w:after="0"/>
        <w:ind w:left="360"/>
      </w:pPr>
      <w:r w:rsidRPr="003532DF">
        <w:t xml:space="preserve">The terminal Ediacaran Dengying Formation in the eastern Yangtze Gorges area, South China is well known for hosting diverse Ediacaran-type macrofossils and trace fossils. However, the depositional processes of this carbonate succession are still poorly known. Here we present detailed </w:t>
      </w:r>
      <w:r w:rsidRPr="003532DF">
        <w:lastRenderedPageBreak/>
        <w:t>sedimentological data on the Dengying carbonates in four sections across the eastern Yangtze Gorges area, with an emphasis on tempestites in limestones of the Shibantan Member of Dengying Formation that have largely been overlooked. The Shibantan limestones in the studied sections contain extensive autochthonous microbial mats and storm-related deposits, including calcirudite, individual swaley cross-stratified calcarenites, hummocky cross-stratified fine- to very fine-grained calcarenites, normally graded calcarenites, calcarenite-calcisiltite beds in discrete units, and soft-sediment deformed beds. The spatial variation of facies suggests that the Shibantan Member was deposited on a carbonate ramp with an intra-ramp lagoon. With the upward shallowing of water depth and progradation of storm-generated sediments, the ramp gradually become steeper, as characterized by the occurrence of soft-sediment deformation structures and graded bedding in the middle of the member. The abundance of tempestites in the Shibantan limestones suggests that the Shibantan Basin was located in low-latitude regions frequently affected by tropical storms, consistent with previous paleogeographic reconstructions. Storm events probably brought nutrients into the environment and contributed to the rapid burial and preservation of macrofossils. The Shibantan limestones thus provide another example of a massflow-related taphonomic window for the Ediacaran organisms that is comparable to the fossil preservation style in the Ediacaran siliciclastic rocks.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Xing, L., O’Connor, J.K., Schmitz, L., Chiappe, L.M., McKellar, R.C., Yi, Q., Li, G., </w:t>
      </w:r>
      <w:r w:rsidR="00616347">
        <w:t xml:space="preserve">2020. </w:t>
      </w:r>
      <w:r w:rsidRPr="003532DF">
        <w:t>Hummingbird-sized dinosaur from the Cretaceous period of Myanmar. Nature 579, 245-249.</w:t>
      </w:r>
    </w:p>
    <w:p w:rsidR="00DB42FE" w:rsidRPr="003532DF" w:rsidRDefault="00DB42FE" w:rsidP="00616347">
      <w:pPr>
        <w:pStyle w:val="EndNoteBibliography"/>
        <w:ind w:left="360"/>
      </w:pPr>
      <w:r w:rsidRPr="003532DF">
        <w:t>https://doi.org/10.1038/s41586-020-2068-4</w:t>
      </w:r>
    </w:p>
    <w:p w:rsidR="00DB42FE" w:rsidRPr="003532DF" w:rsidRDefault="00DB42FE" w:rsidP="00616347">
      <w:pPr>
        <w:pStyle w:val="EndNoteBibliography"/>
        <w:spacing w:after="0"/>
        <w:ind w:left="360"/>
      </w:pPr>
      <w:r w:rsidRPr="003532DF">
        <w:t xml:space="preserve">Skeletal inclusions in approximately 99-million-year-old amber from northern Myanmar provide unprecedented insights into the soft tissue and skeletal anatomy of minute fauna, which are not typically preserved in other depositional environments. Among a diversity of vertebrates, seven specimens that preserve the skeletal remains of enantiornithine birds have previously been described, all of which (including at least one seemingly mature specimen) are smaller than specimens recovered from lithic materials. Here we describe an exceptionally well-preserved and diminutive bird-like skull that documents a new species, which we name </w:t>
      </w:r>
      <w:r w:rsidRPr="003532DF">
        <w:rPr>
          <w:i/>
        </w:rPr>
        <w:t>Oculudentavis khaungraae</w:t>
      </w:r>
      <w:r w:rsidRPr="003532DF">
        <w:t xml:space="preserve"> gen. et sp. nov. The find appears to represent the smallest known dinosaur of the Mesozoic era, rivalling the bee hummingbird (</w:t>
      </w:r>
      <w:r w:rsidRPr="003532DF">
        <w:rPr>
          <w:i/>
        </w:rPr>
        <w:t>Mellisuga helenae</w:t>
      </w:r>
      <w:r w:rsidRPr="003532DF">
        <w:t xml:space="preserve">)—the smallest living bird—in size. The </w:t>
      </w:r>
      <w:r w:rsidRPr="003532DF">
        <w:rPr>
          <w:i/>
        </w:rPr>
        <w:t>O. khaungraae</w:t>
      </w:r>
      <w:r w:rsidRPr="003532DF">
        <w:t xml:space="preserve"> specimen preserves features that hint at miniaturization constraints, including a unique pattern of cranial fusion and an autapomorphic ocular morphology that resembles the eyes of lizards. The conically arranged scleral ossicles define a small pupil, indicative of diurnal activity. Miniaturization most commonly arises in isolated environments, and the diminutive size of </w:t>
      </w:r>
      <w:r w:rsidRPr="003532DF">
        <w:rPr>
          <w:i/>
        </w:rPr>
        <w:t>Oculudentavis</w:t>
      </w:r>
      <w:r w:rsidRPr="003532DF">
        <w:t xml:space="preserve"> is therefore consistent with previous suggestions that this amber formed on an island within the Trans-Tethyan arc</w:t>
      </w:r>
      <w:r w:rsidRPr="003532DF">
        <w:rPr>
          <w:u w:val="single"/>
          <w:vertAlign w:val="superscript"/>
        </w:rPr>
        <w:t>10</w:t>
      </w:r>
      <w:r w:rsidRPr="003532DF">
        <w:t>. The size and morphology of this species suggest a previously unknown bauplan, and a previously undetected ecology. This discovery highlights the potential of amber deposits to reveal the lowest limits of vertebrate body size.</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Xing, Z., Liu, Y., Fu, Y., Qi, Y., Zheng, W., </w:t>
      </w:r>
      <w:r w:rsidR="00616347">
        <w:t xml:space="preserve">2020. </w:t>
      </w:r>
      <w:r w:rsidRPr="003532DF">
        <w:t>Characteristics of microbially induced sedimentary structures and their paleoenvironmental significance from the Mesoproterozoic Yunmengshan Formation in Lushan area, western Henan. Acta Sedimentologica Sinica 38, 46-54 http://www.cjxb.ac.cn/EN/abstract/abstract4070.shtml</w:t>
      </w:r>
    </w:p>
    <w:p w:rsidR="00DB42FE" w:rsidRPr="003532DF" w:rsidRDefault="00DB42FE" w:rsidP="00616347">
      <w:pPr>
        <w:pStyle w:val="EndNoteBibliography"/>
        <w:spacing w:after="0"/>
        <w:ind w:left="360"/>
      </w:pPr>
      <w:r w:rsidRPr="003532DF">
        <w:lastRenderedPageBreak/>
        <w:t>The Precambrian biosphere was dominated by microorganisms. The study of biosedimentary structures caused by such microorganisms has always been paid great attention by geologists;however,previous studies have tended to be mainly focused on carbonate strata,and in recent years showed a particular interest in Microbially Induced Sedimentary Structures(MISS),which are mainly developed in clastic strata. The Yunmengshan Formation in the Lushan area consists mainly of a set of Mesoproterozoic clastic strata. At the base of the Ruyang Group,the formation lies at the southern margin of the North China Platform. MISS are especially abundant in the bedding surface, and display a large range of morphologies. Various types of MISS distribution indicate the paleoenvironment in detail. The extensive development of MISS in the Yunmengshan Formation reveals a flourishing microbial community at that time,which provides strong evidence for reconstructing the ancient environment.</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Xiong, L., YanDe, L., Xiaogang, J., Aiguo, O., Xudong, S., guantian, W., </w:t>
      </w:r>
      <w:r w:rsidR="00616347">
        <w:t xml:space="preserve">2020. </w:t>
      </w:r>
      <w:r w:rsidRPr="003532DF">
        <w:t>Determination and quantification of kerosene in gasoline by mid-infrared and Raman spectroscopy. Journal of Molecular Structure 1210, 127760.</w:t>
      </w:r>
    </w:p>
    <w:p w:rsidR="00DB42FE" w:rsidRPr="003532DF" w:rsidRDefault="00DB42FE" w:rsidP="00616347">
      <w:pPr>
        <w:pStyle w:val="EndNoteBibliography"/>
        <w:ind w:left="360"/>
      </w:pPr>
      <w:r w:rsidRPr="003532DF">
        <w:t>http://www.sciencedirect.com/science/article/pii/S0022286020300843</w:t>
      </w:r>
    </w:p>
    <w:p w:rsidR="00DB42FE" w:rsidRPr="003532DF" w:rsidRDefault="00DB42FE" w:rsidP="00616347">
      <w:pPr>
        <w:pStyle w:val="EndNoteBibliography"/>
        <w:spacing w:after="0"/>
        <w:ind w:left="360"/>
      </w:pPr>
      <w:r w:rsidRPr="003532DF">
        <w:t>As a locomotive fuel, gasoline has become one of the main consumer products of Chinese car owners. Effective identification of gasoline adulteration is of great significance to personal safety, car maintenance and environmental protection. This study used mid-infrared and Raman spectroscopy to quantitatively analyze kerosene adulteration in gasoline. The content of kerosene in gasoline by mid-infrared and Raman spectroscopy was established by partial least squares (PLS), extreme learning machine (ELM) and random forest model prediction. Analyze the effects of Savitzky-Golay (S-G), Multiple scatter correction (MSC), standard normal variate (SNV), first-order, second-order and two pre-processing methods, and calculate the prediction results of the best pre-processing method under the model. The mid-infrared PLS model combined with SG superposition SNV preprocessing method, ELM model combined with SNV preprocessing method, random forest model combined with SG superposition 1st preprocessing method, the prediction correlation coefficients are 0.9828, 0.9374, 0.9817, respectively, And the root mean square error is 0.7878, 0.3606, 0.2175. The results show that the mid-infrared and Raman vibration spectroscopy methods can effectively detect the kerosene content in gasoline, while the mid-infrared PLS model combined with SG superposition SNV pretreatment method has the best effect The research is carried out for gas stations, production enterprises and supervision departments.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Xu, S., Hao, F., Shu, Z., Zhang, A., Yang, F., </w:t>
      </w:r>
      <w:r w:rsidR="00616347">
        <w:t xml:space="preserve">2020. </w:t>
      </w:r>
      <w:r w:rsidRPr="003532DF">
        <w:t>Pore structures of different types of shales and shale gas exploration of the Ordovician Wufeng and Silurian Longmaxi successions in the eastern Sichuan Basin, South China. Journal of Asian Earth Sciences 193, 104271.</w:t>
      </w:r>
    </w:p>
    <w:p w:rsidR="00DB42FE" w:rsidRPr="003532DF" w:rsidRDefault="00DB42FE" w:rsidP="00616347">
      <w:pPr>
        <w:pStyle w:val="EndNoteBibliography"/>
        <w:ind w:left="360"/>
      </w:pPr>
      <w:r w:rsidRPr="003532DF">
        <w:t>http://www.sciencedirect.com/science/article/pii/S1367912020300523</w:t>
      </w:r>
    </w:p>
    <w:p w:rsidR="00DB42FE" w:rsidRPr="003532DF" w:rsidRDefault="00DB42FE" w:rsidP="00616347">
      <w:pPr>
        <w:pStyle w:val="EndNoteBibliography"/>
        <w:ind w:left="360"/>
      </w:pPr>
      <w:r w:rsidRPr="003532DF">
        <w:t>Shales from Ordovician Wufeng and Silurian Longmaxi groups in the Sichuan Basin were analyzed by using the field emission-scanning electron microscopy, helium pycnometry, and low-pressure gas adsorption experiments. There are mainly three lithofacies in the studied shale reservoirs: clay-rich siliceous shale (S-3), argillaceous/siliceous mixed shale (M-2), and silica-rich argillaceous shale lithofacies (CM-1). The organic-rich S-3 shales have the highest porosity (averaging 5.4%), the largest pore volume (averaging 0.024 mL/g), and the highest specific surface area (averaging 21.6 m</w:t>
      </w:r>
      <w:r w:rsidRPr="003532DF">
        <w:rPr>
          <w:vertAlign w:val="superscript"/>
        </w:rPr>
        <w:t>2</w:t>
      </w:r>
      <w:r w:rsidRPr="003532DF">
        <w:t xml:space="preserve">/g). </w:t>
      </w:r>
      <w:r w:rsidRPr="003532DF">
        <w:lastRenderedPageBreak/>
        <w:t>Organic matter (OM) pores contribute 62.6% to the porosity of S-3 shales. M-2 shales have the moderate pore structure with porosity averaging 4.3%, pore volume averaging 0.019 mL/g, and specific surface area averaging 16.7 m</w:t>
      </w:r>
      <w:r w:rsidRPr="003532DF">
        <w:rPr>
          <w:vertAlign w:val="superscript"/>
        </w:rPr>
        <w:t>2</w:t>
      </w:r>
      <w:r w:rsidRPr="003532DF">
        <w:t>/g. Organic matter and clay minerals contribute 49.5% and 36.8% to the porosity of M-2 shales, respectively. The CM-1 shales have the lowest porosity (averaging 4.1%), the smallest pore volume (averaging 0.017 mL/g), and the lowest specific surface area (averaging 15.6 m</w:t>
      </w:r>
      <w:r w:rsidRPr="003532DF">
        <w:rPr>
          <w:vertAlign w:val="superscript"/>
        </w:rPr>
        <w:t>2</w:t>
      </w:r>
      <w:r w:rsidRPr="003532DF">
        <w:t>/g). The organic-lean CM-1 shales are dominated by clay mineral pores. Clay minerals contribute 56% to the porosity of CM-1 shales.</w:t>
      </w:r>
    </w:p>
    <w:p w:rsidR="00DB42FE" w:rsidRPr="003532DF" w:rsidRDefault="00DB42FE" w:rsidP="00616347">
      <w:pPr>
        <w:pStyle w:val="EndNoteBibliography"/>
        <w:spacing w:after="0"/>
        <w:ind w:left="360"/>
      </w:pPr>
      <w:r w:rsidRPr="003532DF">
        <w:t>OM pores are well developed in the S-3 shale lithofacies, while most of OM pores are destroyed or compacted in CM-1 shale lithofacies. The effect of compaction on porosity of CM-1 shales is stronger than that of M-2 and S-3 shales because of the highest clay minerals content and the lowest siliceous minerals content. Considering the pore spaces and hydraulic fracturing operation, the S-3 shales is more suitable to shale gas exploration than M-2 and CM-1 shales. Certainly, the M-2 and CM-1 shales also have certain amounts of hydrocarbon storage capacity, and could be considered as the candidate targets for shale gas exploitation.</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Yacovitch, T.I., Daube, C., Herndon, S.C., </w:t>
      </w:r>
      <w:r w:rsidR="00616347">
        <w:t xml:space="preserve">2020. </w:t>
      </w:r>
      <w:r w:rsidRPr="003532DF">
        <w:t>Methane emissions from offshore oil and gas platforms in the Gulf of Mexico. Environmental Science &amp; Technology 54, 3530-3538.</w:t>
      </w:r>
    </w:p>
    <w:p w:rsidR="00DB42FE" w:rsidRPr="003532DF" w:rsidRDefault="00DB42FE" w:rsidP="00616347">
      <w:pPr>
        <w:pStyle w:val="EndNoteBibliography"/>
        <w:ind w:left="360"/>
      </w:pPr>
      <w:r w:rsidRPr="003532DF">
        <w:t>https://doi.org/10.1021/acs.est.9b07148</w:t>
      </w:r>
    </w:p>
    <w:p w:rsidR="00DB42FE" w:rsidRPr="003532DF" w:rsidRDefault="00DB42FE" w:rsidP="00616347">
      <w:pPr>
        <w:pStyle w:val="EndNoteBibliography"/>
        <w:spacing w:after="0"/>
        <w:ind w:left="360"/>
      </w:pPr>
      <w:r w:rsidRPr="003532DF">
        <w:t>Shipboard measurements of offshore oil and gas facilities were conducted in the Gulf of Mexico in February 2018. Species measured at 1 s include methane, ethane, carbon-13 (</w:t>
      </w:r>
      <w:r w:rsidRPr="003532DF">
        <w:rPr>
          <w:vertAlign w:val="superscript"/>
        </w:rPr>
        <w:t>13</w:t>
      </w:r>
      <w:r w:rsidRPr="003532DF">
        <w:t xml:space="preserve">C) and deuterium (D) isotopes of methane, and several combustion tracers. Significant variability in the emission composition is observed between individual sites, with typical ethane/methane ratios around 5.3% and </w:t>
      </w:r>
      <w:r w:rsidRPr="003532DF">
        <w:rPr>
          <w:vertAlign w:val="superscript"/>
        </w:rPr>
        <w:t>13</w:t>
      </w:r>
      <w:r w:rsidRPr="003532DF">
        <w:t>C and D methane isotopic compositions around −40 and −240‰, respectively. Offshore plumes were spatially narrower than expectations of the plume width based on terrestrial atmospheric stability classes; a modified Gaussian dispersion methodology using empirically measured horizontal plume widths was used to estimate the emission rates. A total of 103 sites were studied, including shallow and deepwater offshore platforms and drillships. Methane emission rates range from 0 to 190 kg/h with 95% confidence limits estimated at a factor of 10. The observed distribution is skewed with the top two emitters accounting for 20% of the total methane emissions of all sampled sites. Despite the greater throughput of the deepwater facilities, they had moderate emission rates compared to shallow-water sites. Analysis of background ethane enhancements also suggests a source region in shallow waters. A complete 1 s measurement database is published for use in future studies of offshore dispersion.</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Yan, H., Tian, L., Feng, R., Mitri, H., Chen, J., He, K., Zhang, Y., Yang, S., Xu, Z., </w:t>
      </w:r>
      <w:r w:rsidR="00616347">
        <w:t xml:space="preserve">2020. </w:t>
      </w:r>
      <w:r w:rsidRPr="003532DF">
        <w:t>Liquid nitrogen waterless fracking for the environmental protection of arid areas during unconventional resource extraction. Science of The Total Environment 721, 137719.</w:t>
      </w:r>
    </w:p>
    <w:p w:rsidR="00DB42FE" w:rsidRPr="003532DF" w:rsidRDefault="00DB42FE" w:rsidP="00616347">
      <w:pPr>
        <w:pStyle w:val="EndNoteBibliography"/>
        <w:ind w:left="360"/>
      </w:pPr>
      <w:r w:rsidRPr="003532DF">
        <w:t>http://www.sciencedirect.com/science/article/pii/S0048969720312304</w:t>
      </w:r>
    </w:p>
    <w:p w:rsidR="00DB42FE" w:rsidRPr="003532DF" w:rsidRDefault="00DB42FE" w:rsidP="00616347">
      <w:pPr>
        <w:pStyle w:val="EndNoteBibliography"/>
        <w:spacing w:after="0"/>
        <w:ind w:left="360"/>
      </w:pPr>
      <w:r w:rsidRPr="003532DF">
        <w:t>Many arid and semi-arid regions are rich in shale gas or coalbed methane. However, hydraulic-fracturing, commonly used for reservoir stimulation, has serious environmental impacts such as the consumption of large quantities of water, damage of residual organic compounds and the disposal of process water. This paper presents liquid nitrogen (LN</w:t>
      </w:r>
      <w:r w:rsidRPr="003532DF">
        <w:rPr>
          <w:vertAlign w:val="subscript"/>
        </w:rPr>
        <w:t>2</w:t>
      </w:r>
      <w:r w:rsidRPr="003532DF">
        <w:t xml:space="preserve">) as an environmentally friendly, waterless fracking technology, which could potentially replace hydraulic fracturing. Laboratory experiments on </w:t>
      </w:r>
      <w:r w:rsidRPr="003532DF">
        <w:lastRenderedPageBreak/>
        <w:t>LN</w:t>
      </w:r>
      <w:r w:rsidRPr="003532DF">
        <w:rPr>
          <w:vertAlign w:val="subscript"/>
        </w:rPr>
        <w:t>2</w:t>
      </w:r>
      <w:r w:rsidRPr="003532DF">
        <w:t xml:space="preserve"> fracturing were conducted on coal samples, and high-resolution micro X-ray computed tomography was used for 3D visualization and evaluation of fracture evolution characteristics, including liquid nitrogen cyclic quenching, effect of initial fracture size (IFS) and coal saturation. The findings of this study testify to the effectiveness of fracturing by LN</w:t>
      </w:r>
      <w:r w:rsidRPr="003532DF">
        <w:rPr>
          <w:vertAlign w:val="subscript"/>
        </w:rPr>
        <w:t>2</w:t>
      </w:r>
      <w:r w:rsidRPr="003532DF">
        <w:t xml:space="preserve"> quenching on coalbed methane reservoirs. This technique would help protect water resources and alleviate other environmental concerns in arid districts during unconventional resource recovery.</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Yan, T., Wu, L., Wang, L., Fu, F., Fang, T., </w:t>
      </w:r>
      <w:r w:rsidR="00616347">
        <w:t xml:space="preserve">2020. </w:t>
      </w:r>
      <w:r w:rsidRPr="003532DF">
        <w:t>Desulfurization of sulfur-containing compounds in heavy oil in the presence of supercritical methanol. Energy &amp; Fuels 34, 2958-2968.</w:t>
      </w:r>
    </w:p>
    <w:p w:rsidR="00DB42FE" w:rsidRPr="003532DF" w:rsidRDefault="00DB42FE" w:rsidP="00616347">
      <w:pPr>
        <w:pStyle w:val="EndNoteBibliography"/>
        <w:ind w:left="360"/>
      </w:pPr>
      <w:r w:rsidRPr="003532DF">
        <w:t>https://doi.org/10.1021/acs.energyfuels.9b04148</w:t>
      </w:r>
    </w:p>
    <w:p w:rsidR="00DB42FE" w:rsidRPr="003532DF" w:rsidRDefault="00DB42FE" w:rsidP="00616347">
      <w:pPr>
        <w:pStyle w:val="EndNoteBibliography"/>
        <w:spacing w:after="0"/>
        <w:ind w:left="360"/>
      </w:pPr>
      <w:r w:rsidRPr="003532DF">
        <w:t xml:space="preserve">The reaction mechanisms of sulfur-containing compounds in heavy oil in supercritical methanol were clarified. Four sulfur model compounds, namely </w:t>
      </w:r>
      <w:r w:rsidRPr="003532DF">
        <w:rPr>
          <w:i/>
        </w:rPr>
        <w:t>n</w:t>
      </w:r>
      <w:r w:rsidRPr="003532DF">
        <w:t>-hexyl sulfide, 3-methylthiophene, diphenyl sulfide, and dibenzyl sulfide, were selected to simulate the conversion mechanism of the sulfur components in supercritical methanol. The conversion rate of dibenzyl sulfide was 100% after 1 h of reaction in supercritical methanol. The desulfurization rate was up to 97%. The sulfur compounds in the products were mainly tetraphenylthiophenol, which provided a theoretical analysis for the increase in the sulfur content in asphaltenes. In this work, by studying the reaction path of sulfur-containing compounds in supercritical methanol, we found that supercritical methanol could not only accelerate the reaction process as a reaction solvent but also play a role in promoting the desulfurization reaction.</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Yang, C., Aslan, H., Zhang, P., Zhu, S., Xiao, Y., Chen, L., Khan, N., Boesen, T., Wang, Y., Liu, Y., Wang, L., Sun, Y., Feng, Y., Besenbacher, F., Zhao, F., Yu, M., </w:t>
      </w:r>
      <w:r w:rsidR="00616347">
        <w:t xml:space="preserve">2020. </w:t>
      </w:r>
      <w:r w:rsidRPr="003532DF">
        <w:t>Carbon dots-fed</w:t>
      </w:r>
      <w:r w:rsidRPr="003532DF">
        <w:rPr>
          <w:i/>
        </w:rPr>
        <w:t xml:space="preserve"> Shewanella oneidensis</w:t>
      </w:r>
      <w:r w:rsidRPr="003532DF">
        <w:t xml:space="preserve"> MR-1 for bioelectricity enhancement. Nature Communications 11, 1379.</w:t>
      </w:r>
    </w:p>
    <w:p w:rsidR="00DB42FE" w:rsidRPr="003532DF" w:rsidRDefault="00DB42FE" w:rsidP="00616347">
      <w:pPr>
        <w:pStyle w:val="EndNoteBibliography"/>
        <w:ind w:left="360"/>
      </w:pPr>
      <w:r w:rsidRPr="003532DF">
        <w:t>https://doi.org/10.1038/s41467-020-14866-0</w:t>
      </w:r>
    </w:p>
    <w:p w:rsidR="00DB42FE" w:rsidRPr="003532DF" w:rsidRDefault="00DB42FE" w:rsidP="00616347">
      <w:pPr>
        <w:pStyle w:val="EndNoteBibliography"/>
        <w:spacing w:after="0"/>
        <w:ind w:left="360"/>
      </w:pPr>
      <w:r w:rsidRPr="003532DF">
        <w:t xml:space="preserve">Bioelectricity generation, by </w:t>
      </w:r>
      <w:r w:rsidRPr="003532DF">
        <w:rPr>
          <w:i/>
        </w:rPr>
        <w:t>Shewanella oneidensis</w:t>
      </w:r>
      <w:r w:rsidRPr="003532DF">
        <w:t xml:space="preserve"> (</w:t>
      </w:r>
      <w:r w:rsidRPr="003532DF">
        <w:rPr>
          <w:i/>
        </w:rPr>
        <w:t>S. oneidensis</w:t>
      </w:r>
      <w:r w:rsidRPr="003532DF">
        <w:t xml:space="preserve">) MR-1, has become particularly alluring, thanks to its extraordinary prospects for energy production, pollution treatment, and biosynthesis. Attempts to improve its technological output by modification of </w:t>
      </w:r>
      <w:r w:rsidRPr="003532DF">
        <w:rPr>
          <w:i/>
        </w:rPr>
        <w:t>S. oneidensis</w:t>
      </w:r>
      <w:r w:rsidRPr="003532DF">
        <w:t xml:space="preserve"> MR-1 remains complicated, expensive and inefficient. Herein, we report on the augmentation of </w:t>
      </w:r>
      <w:r w:rsidRPr="003532DF">
        <w:rPr>
          <w:i/>
        </w:rPr>
        <w:t>S. oneidensis</w:t>
      </w:r>
      <w:r w:rsidRPr="003532DF">
        <w:t xml:space="preserve"> MR-1 with carbon dots (CDs). The CDs-fed cells show accelerated extracellular electron transfer and metabolic rate, with increased intracellular charge, higher adenosine triphosphate level, quicker substrate consumption and more abundant extracellular secretion. Meanwhile, the CDs promote cellular adhesion, electronegativity, and biofilm formation. In bioelectrical systems the CDs-fed cells increase the maximum current value, 7.34 fold, and power output, 6.46 fold. The enhancement efficacy is found to be strongly dependent on the surface charge of the CDs. This work demonstrates a simple, cost-effective and efficient route to improve bioelectricity generation of </w:t>
      </w:r>
      <w:r w:rsidRPr="003532DF">
        <w:rPr>
          <w:i/>
        </w:rPr>
        <w:t>S. oneidensis</w:t>
      </w:r>
      <w:r w:rsidRPr="003532DF">
        <w:t xml:space="preserve"> MR-1, holding promise in all relevant technologies.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Yang, F., Song, G., Massicotte, P., Wei, H., Xie, H., </w:t>
      </w:r>
      <w:r w:rsidR="00616347">
        <w:t xml:space="preserve">2020. </w:t>
      </w:r>
      <w:r w:rsidRPr="003532DF">
        <w:t>Depth-resolved photochemical lability of dissolved organic matter in the western tropical Pacific Ocean. Journal of Geophysical Research: Biogeosciences 125, e2019JG005425.</w:t>
      </w:r>
    </w:p>
    <w:p w:rsidR="00DB42FE" w:rsidRPr="003532DF" w:rsidRDefault="00DB42FE" w:rsidP="00616347">
      <w:pPr>
        <w:pStyle w:val="EndNoteBibliography"/>
        <w:ind w:left="360"/>
      </w:pPr>
      <w:r w:rsidRPr="003532DF">
        <w:t>https://doi.org/10.1029/2019JG005425</w:t>
      </w:r>
    </w:p>
    <w:p w:rsidR="00DB42FE" w:rsidRPr="003532DF" w:rsidRDefault="00DB42FE" w:rsidP="00616347">
      <w:pPr>
        <w:pStyle w:val="EndNoteBibliography"/>
        <w:ind w:left="360"/>
      </w:pPr>
      <w:r w:rsidRPr="003532DF">
        <w:lastRenderedPageBreak/>
        <w:t>Abstract: Water samples collected from various depths of the offshore South China and Philippine Seas were exposed to solar‐simulated radiation. Photomineralization of dissolved organic carbon (DOC) and photobleaching of chromophoric dissolved organic matter (CDOM) and its humic‐like fluorescent constituent (FDOM) were observed in all samples. Protein‐like FDOM was, however, either photo‐decomposed or photo‐produced, depending on the sample's depth. The photobleaching of CDOM and humic‐like FDOM was much faster in deep than in shallow water samples while photomineralization displayed a weaker vertical zonation. Prior‐irradiated deep water inoculated with surface‐water bacteria showed enhanced microbial DOC removal but CDOM production. Results from this study suggest that deep‐ocean CDOM and FDOM can barely survive photobleaching during one ocean mixing cycle, but photochemical turnover of the bio‐refractory deep DOC is considerably longer than its average radiocarbon age. Coupled photochemical‐microbial processes can not only remove part of the bio‐refractory deep DOM but also regenerate part of it during ocean overturning circulation.</w:t>
      </w:r>
    </w:p>
    <w:p w:rsidR="00DB42FE" w:rsidRPr="003532DF" w:rsidRDefault="00DB42FE" w:rsidP="00616347">
      <w:pPr>
        <w:pStyle w:val="EndNoteBibliography"/>
        <w:spacing w:after="0"/>
        <w:ind w:left="360"/>
      </w:pPr>
      <w:r w:rsidRPr="003532DF">
        <w:t>Plain Language Summary: The production, consumption, and transformation of dissolved organic matter (DOM) in the ocean play a key role in climate change, since the oceanic DOM stock in terms of carbon is similar to the amount of atmospheric CO</w:t>
      </w:r>
      <w:r w:rsidRPr="003532DF">
        <w:rPr>
          <w:vertAlign w:val="subscript"/>
        </w:rPr>
        <w:t>2</w:t>
      </w:r>
      <w:r w:rsidRPr="003532DF">
        <w:t>. The majority of oceanic DOM is contained in the deep ocean and resists bacterial degradation, which allows the deep DOM to pass through the sunlit surface ocean multiple times during its life span by means of large‐scale ocean currents. Part of DOM is colored (CDOM), absorbs sunlight, and undergoes light‐initiated chemical (i.e., photochemical) alteration, producing CO</w:t>
      </w:r>
      <w:r w:rsidRPr="003532DF">
        <w:rPr>
          <w:vertAlign w:val="subscript"/>
        </w:rPr>
        <w:t>2</w:t>
      </w:r>
      <w:r w:rsidRPr="003532DF">
        <w:t xml:space="preserve"> (i.e., photomineralization) and/or colorless organic compounds (i.e., photobleaching) consumable by bacteria. The present study compares the photochemical reactivity of CDOM, including its fluorescent component (FDOM), in water samples collected from various depths in the South China Sea and Philippine Sea. CDOM in deep samples was found to be photoreactive and more so than in surface samples in terms of photomineralization and photobleaching. Bacterial incubation in the prior‐irradiated deep water enhanced the biodegradation of DOM to CO</w:t>
      </w:r>
      <w:r w:rsidRPr="003532DF">
        <w:rPr>
          <w:vertAlign w:val="subscript"/>
        </w:rPr>
        <w:t>2</w:t>
      </w:r>
      <w:r w:rsidRPr="003532DF">
        <w:t xml:space="preserve"> but, surprisingly, regenerated CDOM from the photochemically produced colorless compounds. Photochemical processes and photochemical‐microbial interactions can thus have a potentially important impact on the transport, transformation, and fate of the deep‐ocean DOM.</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Yao, L., Aretz, M., Wignall, P.B., Chen, J., Vachard, D., Qi, Y., Shen, S., Wang, X., </w:t>
      </w:r>
      <w:r w:rsidR="00616347">
        <w:t xml:space="preserve">2020. </w:t>
      </w:r>
      <w:r w:rsidRPr="003532DF">
        <w:t>The longest delay: Re-emergence of coral reef ecosystems after the Late Devonian extinctions. Earth-Science Reviews 203, 103060.</w:t>
      </w:r>
    </w:p>
    <w:p w:rsidR="00DB42FE" w:rsidRPr="003532DF" w:rsidRDefault="00DB42FE" w:rsidP="00616347">
      <w:pPr>
        <w:pStyle w:val="EndNoteBibliography"/>
        <w:ind w:left="360"/>
      </w:pPr>
      <w:r w:rsidRPr="003532DF">
        <w:t>http://www.sciencedirect.com/science/article/pii/S0012825219305628</w:t>
      </w:r>
    </w:p>
    <w:p w:rsidR="00DB42FE" w:rsidRPr="003532DF" w:rsidRDefault="00DB42FE" w:rsidP="00616347">
      <w:pPr>
        <w:pStyle w:val="EndNoteBibliography"/>
        <w:spacing w:after="0"/>
        <w:ind w:left="360"/>
      </w:pPr>
      <w:r w:rsidRPr="003532DF">
        <w:t xml:space="preserve">Reefs are an excellent tool for tracking marine-ecosystem changes, especially through mass extinction transitions. Although metazoan reefs proliferated during the Phanerozoic, prolonged metazoan reef-recovery intervals often occurred after extinction events. Here, we document and review the reef-recovery interval following the Late Devonian Frasnian-Famennian (Kellwasser) and end-Famennian (Hangenberg) mass extinctions, which eliminated the largest area of metazoan (stromatoporoid-coral) reefs of the Phanerozoic. Previous reports of the late Visean coral bioconstructions from western Palaeotethys Ocean, may mark the first metazoan reef proliferation after the Hangenberg extinction. In this study, abundant coral reefs, coral frameworks and coral biostromes were described in detail for the first time from the late Visean strata on the South China Block (eastern Palaeotethys Ocean). The occurrence of these coral bioconstructions further suggests that the late Visean coral reef recovery may have been a widespread phenomenon. Based on the </w:t>
      </w:r>
      <w:r w:rsidRPr="003532DF">
        <w:lastRenderedPageBreak/>
        <w:t>high-resolution reef database constructed in this study, three sub-intervals of the Mississippian metazoan reef recovery were distinguished, which are (1) metazoan “reef gap” phase (MRG) without metazoan reefs during the Tournaisian; (2) metazoan reef re-establishment phase (MRR) containing a few metazoan reefs from early Visean to early part of the late Visean; and (3) metazoan reef proliferation phase (MRP) with global coral reef flourishment during the middle part of the late Visean (late Asbian to early Brigantian substages). Hence, coral reef ecosystems proliferated and became dominant in marine ecosystems during the late Asbian to early Brigantian, indicating a prolonged metazoan reef recovery of about 12 Ma and 23 Ma until the MRR and MRP, respectively. Coral reef proliferation at this time shows that the Mississippian was not solely a period dominated by microbial reefs. Late Visean coral reef development coincided with increased nektonic and benthic diversity, showing that metazoan reef recovery closely tracked overall marine ecosystem evolution. Even compared with other slow reef-recovery intervals, such as the middle-late Cambrian and Early-Middle Triassic with the intervals until the MRR and MRP of 5 Ma and 2 Ma, and 15 Ma and 9 Ma respectively, the Mississippian metazoan reef recovery was the longest in reef history. Harsh climatic and oceanic conditions were present during the Mississippian, mainly including the widespread marine anoxia during the middle part of Tournaisian and the following recurrent glacial and interglacial climatic episodes with frequent changes in sea level, sedimentary facies and sea-water surface temperature, which may have stymied metazoan reef recovery during this time. During the late Visean, marine communities flourished during a phase of relative warm conditions and high sea level, and coincided with the long-delayed re-emergence of coral reef ecosystems after the Late Devonian extinctions.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Yatsishina, E.B., Pozhidaev, V.M., Sergeeva, Y.E., Malakhov, S.N., Slushnaya, I.S., </w:t>
      </w:r>
      <w:r w:rsidR="00616347">
        <w:t xml:space="preserve">2020. </w:t>
      </w:r>
      <w:r w:rsidRPr="003532DF">
        <w:t>An integrated study of the hair coating of ancient Egyptian mummies. Journal of Analytical Chemistry 75, 262-274.</w:t>
      </w:r>
    </w:p>
    <w:p w:rsidR="00DB42FE" w:rsidRPr="003532DF" w:rsidRDefault="00DB42FE" w:rsidP="00616347">
      <w:pPr>
        <w:pStyle w:val="EndNoteBibliography"/>
        <w:ind w:left="360"/>
      </w:pPr>
      <w:r w:rsidRPr="003532DF">
        <w:t>https://doi.org/10.1134/S1061934819120141</w:t>
      </w:r>
    </w:p>
    <w:p w:rsidR="00DB42FE" w:rsidRPr="003532DF" w:rsidRDefault="00DB42FE" w:rsidP="00616347">
      <w:pPr>
        <w:pStyle w:val="EndNoteBibliography"/>
        <w:spacing w:after="0"/>
        <w:ind w:left="360"/>
      </w:pPr>
      <w:r w:rsidRPr="003532DF">
        <w:t>We determined the composition of the hair coating of three ancient Egyptian mummies dating from the 1st millennium BC from the collection of the Pushkin State Museum of Fine Arts using a complex of analytical methods: optical microscopy, IR spectroscopy, gas chromatography, and mass spectrometry. In ancient Egypt, unique embalming compositions were used to coat hair, different from those for embalming mummies themselves. The formulation of embalming compositions for coating hair of the three investigated mummies included beef tallow, castor oil, beeswax, and pine resin obtained by the dry distillation of wood. Aromatic pistachio tree oil was also added to the composition of balsamic hair coating of two of the three mummies.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Ye, Y., Shen, J., Feng, Q., Lash, G.G., </w:t>
      </w:r>
      <w:r w:rsidR="00616347">
        <w:t xml:space="preserve">2020. </w:t>
      </w:r>
      <w:r w:rsidRPr="003532DF">
        <w:t>Microbial and animal evolution in relation to redox fluctuations in a deep-water setting of South China during the Ediacaran-Cambrian transition (ca. 551–523 Ma). Palaeogeography, Palaeoclimatology, Palaeoecology 546, 109672.</w:t>
      </w:r>
    </w:p>
    <w:p w:rsidR="00DB42FE" w:rsidRPr="003532DF" w:rsidRDefault="00DB42FE" w:rsidP="00616347">
      <w:pPr>
        <w:pStyle w:val="EndNoteBibliography"/>
        <w:ind w:left="360"/>
      </w:pPr>
      <w:r w:rsidRPr="003532DF">
        <w:t>http://www.sciencedirect.com/science/article/pii/S0031018220301176</w:t>
      </w:r>
    </w:p>
    <w:p w:rsidR="00DB42FE" w:rsidRPr="003532DF" w:rsidRDefault="00DB42FE" w:rsidP="00616347">
      <w:pPr>
        <w:pStyle w:val="EndNoteBibliography"/>
        <w:spacing w:after="0"/>
        <w:ind w:left="360"/>
      </w:pPr>
      <w:r w:rsidRPr="003532DF">
        <w:t xml:space="preserve">The Ediacaran-Cambrian (E-C) transition witnessed significant ecosystem perturbations of the oceanic environment (e.g., oxygen concentrations of seawater) and biological evolution. However, in spite of abundant Ediacara-type megafossils, trace fossils, small shelly fossils (SSFs), macroscopic algae and metazoans recovered from shallow-water E-C transition strata throughout South China, the manifestation of geological events in deep-water settings remains elusive. Here, we present new </w:t>
      </w:r>
      <w:r w:rsidRPr="003532DF">
        <w:lastRenderedPageBreak/>
        <w:t xml:space="preserve">paleontological and geochemical evidence from the ~38-m-thick deep-water Liuchapo Formation (ca. 551–523 Ma) of the Yangtou section, northeastern Guizhou Province, China, which consists mainly of chert through the E-C transition. The Liuchapo Formation can be divided into two members based on biostratigraphy and redox proxies. The lower member (0–32 m) is characterized by low Mo/Al (0.15–1.82 ppm/%) and U/Al (0.47–2.51 ppm/%) values that suggest deposition under suboxic conditions. These deposits are dominated by </w:t>
      </w:r>
      <w:r w:rsidRPr="003532DF">
        <w:rPr>
          <w:i/>
        </w:rPr>
        <w:t>Horodyskia minor</w:t>
      </w:r>
      <w:r w:rsidRPr="003532DF">
        <w:t xml:space="preserve">, </w:t>
      </w:r>
      <w:r w:rsidRPr="003532DF">
        <w:rPr>
          <w:i/>
        </w:rPr>
        <w:t>Paleopascichnus jiumenensis</w:t>
      </w:r>
      <w:r w:rsidRPr="003532DF">
        <w:t>, spherical cyanobacteria (?</w:t>
      </w:r>
      <w:r w:rsidRPr="003532DF">
        <w:rPr>
          <w:i/>
        </w:rPr>
        <w:t>Myxococcoides</w:t>
      </w:r>
      <w:r w:rsidRPr="003532DF">
        <w:t>) and random acritarchs. The upper member (32–38 m) records a transition to anoxic (non-sulfidic) conditions as suggested by marked increases in Mo/Al (5–47 ppm/%) and U/Al (8–810 ppm/%). The upper member contains SSFs, sponge spicules, filamentous cyanobacteria, multicellular algae and sheet-like fossils. The survival of diverse organisms under strongly reducing conditions reflected in the upper member suggests that, marine redox fluctuations may limit the growth of Late Ediacaran organisms and provide the living space and elevated nutrients for early Cambrian biota.</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Yi, S., Babadagli, T., Li, H.A., </w:t>
      </w:r>
      <w:r w:rsidR="00616347">
        <w:t xml:space="preserve">2020. </w:t>
      </w:r>
      <w:r w:rsidRPr="003532DF">
        <w:t>Catalytic-effect comparison between nickel and iron oxide nanoparticles during aquathermolysis-aided cyclic steam stimulation. SPE Reservoir Evaluation &amp; Engineering 23, 282-291.</w:t>
      </w:r>
    </w:p>
    <w:p w:rsidR="00DB42FE" w:rsidRPr="003532DF" w:rsidRDefault="00DB42FE" w:rsidP="00616347">
      <w:pPr>
        <w:pStyle w:val="EndNoteBibliography"/>
        <w:ind w:left="360"/>
      </w:pPr>
      <w:r w:rsidRPr="003532DF">
        <w:t>https://doi.org/10.2118/197062-PA</w:t>
      </w:r>
    </w:p>
    <w:p w:rsidR="00DB42FE" w:rsidRPr="003532DF" w:rsidRDefault="00DB42FE" w:rsidP="00616347">
      <w:pPr>
        <w:pStyle w:val="EndNoteBibliography"/>
        <w:spacing w:after="0"/>
        <w:ind w:left="360"/>
      </w:pPr>
      <w:r w:rsidRPr="003532DF">
        <w:t>Cyclic steam stimulation (CSS) is a proven effective technique for boosting oil production. Metal species can act as a catalyst for aquathermolysis reactions between heavy oil and water during the CSS process. For this paper, a series of CSS experiments with and without metal nanoparticles was conducted at temperatures up to 220°C to compare the performance of nickel and iron oxide nanoparticles in promoting aquathermolysis reactions in CSS; further, different loadings of metal nanoparticles were also tested in the CSS experiments. During the experiments, we monitored the variations of oil recovery factor, oil viscosity, gas composition, and water production. The experimental results show that both nickel and iron oxide nanoparticles can act as a catalyst for aquathermolysis reactions and reduce the viscosity of heavy oil. However, their respective catalytic effects differ significantly: nickel nanoparticles can break the C-S bond more effectively than iron oxide metal nanoparticles, thus achieving a higher ultimate oil recovery factor of CSS. The introduction of metal nanoparticles boosted oil production and increased water production from the very first cycle in the CSS process. The gas chromatography (GC) analysis and the pressure data recorded during each soaking period revealed that a higher amount of evolved gas including alkenes and hydrogen sulfide was generated in the early stage, increasing reservoir pressure and forcing more condensed water to be produced from the sandpack.</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Yin, J., Lin, X., Wang, C., Dai, J., Wang, Y., Xu, Z., </w:t>
      </w:r>
      <w:r w:rsidR="00616347">
        <w:t xml:space="preserve">2020. </w:t>
      </w:r>
      <w:r w:rsidRPr="003532DF">
        <w:t>Identification of the transformation features of heteroatomic compounds in a low rank coal by combining thermal extraction and various analytical approaches. Fuel 270, 117480.</w:t>
      </w:r>
    </w:p>
    <w:p w:rsidR="00DB42FE" w:rsidRPr="003532DF" w:rsidRDefault="00DB42FE" w:rsidP="00616347">
      <w:pPr>
        <w:pStyle w:val="EndNoteBibliography"/>
        <w:ind w:left="360"/>
      </w:pPr>
      <w:r w:rsidRPr="003532DF">
        <w:t>http://www.sciencedirect.com/science/article/pii/S0016236120304750</w:t>
      </w:r>
    </w:p>
    <w:p w:rsidR="00DB42FE" w:rsidRPr="003532DF" w:rsidRDefault="00DB42FE" w:rsidP="00616347">
      <w:pPr>
        <w:pStyle w:val="EndNoteBibliography"/>
        <w:spacing w:after="0"/>
        <w:ind w:left="360"/>
      </w:pPr>
      <w:r w:rsidRPr="003532DF">
        <w:t xml:space="preserve">Solvent extraction is an effective approach to analyze the molecular features of coal and to reveal the transformation mechanism of heteroatoms. In order to accurately figure out the transformation and distribution of heteroatoms during extraction, Naomaohu coal (NMHc), Hypercoal (HPC), and Extraction residue (ER) were systematically analyzed with Fourier transform infrared (FTIR) and X-ray </w:t>
      </w:r>
      <w:r w:rsidRPr="003532DF">
        <w:lastRenderedPageBreak/>
        <w:t>photoelectron spectrometer (XPS). The liquid extract was characterized using Atomic Emission Detector for Gas Chromatography (GC-AED) and gas chromatograph with mass spectrometer (GC–MS). In addition, the distribution characteristics of gas products were examined by gas chromatograph (GC). The results suggest that the solvents with high polarity, strong hydrogen donating capacity, and similar solubility to coal could promote the separation of organic compounds from coal. The extraction yield of xylene with coal increased with increasing temperature. Based on the “Similarity-Intermiscibility” principle, the extracts of xylene were mostly aromatic hydrocarbons and alkanes. The heteroatom-containing species were difficult to be extracted by xylene. Sulfur and oxygen were easily transformed into gas products such as H</w:t>
      </w:r>
      <w:r w:rsidRPr="003532DF">
        <w:rPr>
          <w:vertAlign w:val="subscript"/>
        </w:rPr>
        <w:t>2</w:t>
      </w:r>
      <w:r w:rsidRPr="003532DF">
        <w:t>S, SO</w:t>
      </w:r>
      <w:r w:rsidRPr="003532DF">
        <w:rPr>
          <w:vertAlign w:val="subscript"/>
        </w:rPr>
        <w:t>2</w:t>
      </w:r>
      <w:r w:rsidRPr="003532DF">
        <w:t>, CO, and CO</w:t>
      </w:r>
      <w:r w:rsidRPr="003532DF">
        <w:rPr>
          <w:vertAlign w:val="subscript"/>
        </w:rPr>
        <w:t>2</w:t>
      </w:r>
      <w:r w:rsidRPr="003532DF">
        <w:t>. Moreover, nitrogen compounds were hard to be extracted and recombined. Most of the compounds containing O, S, Cl, and other inorganic substances can be almost completely transferred into the residue through the extraction process. After the thermal solvent extraction, the heteroatoms were primarily present as organic matter in the ER and extract, such as thiophene, pyrrole, pyridine, ketone, and their homologues. The molecular structure of coal was reorganized to be of high thermal and chemical stability, especially for the heteroatom-containing species.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Yingst, R.A., Bartley, J.K., Chidsey Jr., T.J., Cohen, B.A., Hynek, B.M., Kah, L.C., Minitti, M.E., Vanden Berg, M.D., Williams, R.M.E., Adams, M., Black, S., El-Maarry, M.R., Gemperline, J., Kronyak, R., Lotto, M., </w:t>
      </w:r>
      <w:r w:rsidR="00616347">
        <w:t xml:space="preserve">2020. </w:t>
      </w:r>
      <w:r w:rsidRPr="003532DF">
        <w:t>Is a linear or a walkabout protocol more efficient when using a rover to choose biologically relevant samples in a small region of interest? Astrobiology 20, 327-348.</w:t>
      </w:r>
    </w:p>
    <w:p w:rsidR="00DB42FE" w:rsidRPr="003532DF" w:rsidRDefault="00DB42FE" w:rsidP="00616347">
      <w:pPr>
        <w:pStyle w:val="EndNoteBibliography"/>
        <w:ind w:left="360"/>
      </w:pPr>
      <w:r w:rsidRPr="003532DF">
        <w:t>https://doi.org/10.1089/ast.2018.1949</w:t>
      </w:r>
    </w:p>
    <w:p w:rsidR="00DB42FE" w:rsidRPr="003532DF" w:rsidRDefault="00DB42FE" w:rsidP="00616347">
      <w:pPr>
        <w:pStyle w:val="EndNoteBibliography"/>
        <w:spacing w:after="0"/>
        <w:ind w:left="360"/>
      </w:pPr>
      <w:r w:rsidRPr="003532DF">
        <w:t>We conducted a field test at a potential Mars analog site to provide insight into planning for future robotic missions such as Mars 2020, where science operations must facilitate efficient choice of biologically relevant sampling locations. We compared two data acquisition and decision-making protocols currently used by Mars Science Laboratory: (1) a linear approach, where sites are examined as they are encountered and (2) a walkabout approach, in which the field site is first examined with remote rover instruments to gain an understanding of regional context followed by deployment of time- and power-intensive contact and sampling instruments on a smaller subset of locations. The walkabout method was advantageous in terms of both the time required to execute and a greater confidence in results and interpretations, leading to enhanced ability to tailor follow-on observations to better address key science and sampling goals. This advantage is directly linked to the walkabout method's ability to provide broad geological context earlier in the science analysis process. For Mars 2020, and specifically for small regions to be explored (</w:t>
      </w:r>
      <w:r w:rsidRPr="003532DF">
        <w:rPr>
          <w:i/>
        </w:rPr>
        <w:t>e.g</w:t>
      </w:r>
      <w:r w:rsidRPr="003532DF">
        <w:t>., &lt;1 km</w:t>
      </w:r>
      <w:r w:rsidRPr="003532DF">
        <w:rPr>
          <w:vertAlign w:val="superscript"/>
        </w:rPr>
        <w:t>2</w:t>
      </w:r>
      <w:r w:rsidRPr="003532DF">
        <w:t xml:space="preserve">), we recommend that the walkabout approach be considered where possible, to provide early context and time for the science team to develop a coherent suite of hypotheses and robust ways to test them. </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York, A., </w:t>
      </w:r>
      <w:r w:rsidR="00616347">
        <w:t xml:space="preserve">2020. </w:t>
      </w:r>
      <w:r w:rsidRPr="003532DF">
        <w:t>Too big to be ignored. Nature Reviews Microbiology 18, 192-192.</w:t>
      </w:r>
    </w:p>
    <w:p w:rsidR="00DB42FE" w:rsidRPr="003532DF" w:rsidRDefault="00DB42FE" w:rsidP="00616347">
      <w:pPr>
        <w:pStyle w:val="EndNoteBibliography"/>
        <w:ind w:left="360"/>
      </w:pPr>
      <w:r w:rsidRPr="003532DF">
        <w:t>https://doi.org/10.1038/s41579-020-0341-z</w:t>
      </w:r>
    </w:p>
    <w:p w:rsidR="00DB42FE" w:rsidRPr="003532DF" w:rsidRDefault="00DB42FE" w:rsidP="00616347">
      <w:pPr>
        <w:pStyle w:val="EndNoteBibliography"/>
        <w:spacing w:after="0"/>
        <w:ind w:left="360"/>
      </w:pPr>
      <w:r w:rsidRPr="003532DF">
        <w:t xml:space="preserve">Phages with genomes &gt;200 kb and &gt;500 kb are referred to as jumbophages and megaphages, respectively, and are rarely isolated using conventional methods. Al-Shayeb, Sachdeva et al. performed metagenomic sequencing of DNA isolated from diverse ecosystems (for example, humans, animals, oceans, sediments, soils, deep subsurface habitats and the built environment) and </w:t>
      </w:r>
      <w:r w:rsidRPr="003532DF">
        <w:lastRenderedPageBreak/>
        <w:t>found hundreds of phage genomes &gt;200 kb in length, including a 735 kb genome, which the authors claim is the largest phage genome reported to date. The phylogeny of the phages was constructed, and ten ‘huge phage’ clades were defined, which are distributed across a broad bacterial host range. Thirty five of the huge phage genomes were manually curated, and large inventories of genes were found, including novel CRISPR–Cas systems and genes involved in translation, which the authors suggest may intercept host translation to redirect protein synthesis towards viral replication.</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Yu, Q., Xiong, Z., Du, C., Dai, Z., Soltanian, M.R., Soltanian, M., Yin, S., Liu, W., Liu, C., Wang, C., Song, Z., </w:t>
      </w:r>
      <w:r w:rsidR="00616347">
        <w:t xml:space="preserve">2020. </w:t>
      </w:r>
      <w:r w:rsidRPr="003532DF">
        <w:t>Identification of rock pore structures and permeabilities using electron microscopy experiments and deep learning interpretations. Fuel 268, 117416.</w:t>
      </w:r>
    </w:p>
    <w:p w:rsidR="00DB42FE" w:rsidRPr="003532DF" w:rsidRDefault="00DB42FE" w:rsidP="00616347">
      <w:pPr>
        <w:pStyle w:val="EndNoteBibliography"/>
        <w:ind w:left="360"/>
      </w:pPr>
      <w:r w:rsidRPr="003532DF">
        <w:t>http://www.sciencedirect.com/science/article/pii/S0016236120304117</w:t>
      </w:r>
    </w:p>
    <w:p w:rsidR="00DB42FE" w:rsidRPr="003532DF" w:rsidRDefault="00DB42FE" w:rsidP="00616347">
      <w:pPr>
        <w:pStyle w:val="EndNoteBibliography"/>
        <w:spacing w:after="0"/>
        <w:ind w:left="360"/>
      </w:pPr>
      <w:r w:rsidRPr="003532DF">
        <w:t>Permeability is an important hydrogeological parameter for the quantitative evaluation of water resources and prediction of water inflow. In this study, we examine a typical water-bearing sandstone obtained in North China to explore the correlation between the microscopic pore characteristics and macroscopic permeability of the sandstone. In addition, pixel-level annotated data are generated from the images obtained in electron microscopy experiments for deep learning training. Using the deep learning framework, we analyse the pore characteristics through semantic image segmentation based on artificial intelligence and explore the relationship between the microscopic pore characteristics and the macroscopic permeability parameters of the sandstone. This method addresses the limitations of traditional image recognition methods, such as the inability to obtain the complete pore space characteristics in scanning electron microscopy (SEM) images as well as poor segmentation and low accuracy. Moreover, this method can be used to realise the full benefits of accurate image recognition, and it enables the automatic processing of microscopic images to significantly improve the accuracy of pore identification in rock samples.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Yu, X., Li, J., Chen, Z., Wu, K., Zhang, L., Yang, S., </w:t>
      </w:r>
      <w:r w:rsidR="00616347">
        <w:t xml:space="preserve">2020. </w:t>
      </w:r>
      <w:r w:rsidRPr="003532DF">
        <w:t>Effects of helium adsorption in carbon nanopores on apparent void volumes and excess methane adsorption isotherms. Fuel 270, 117499.</w:t>
      </w:r>
    </w:p>
    <w:p w:rsidR="00DB42FE" w:rsidRPr="003532DF" w:rsidRDefault="00DB42FE" w:rsidP="00616347">
      <w:pPr>
        <w:pStyle w:val="EndNoteBibliography"/>
        <w:ind w:left="360"/>
      </w:pPr>
      <w:r w:rsidRPr="003532DF">
        <w:t>http://www.sciencedirect.com/science/article/pii/S0016236120304944</w:t>
      </w:r>
    </w:p>
    <w:p w:rsidR="00DB42FE" w:rsidRPr="003532DF" w:rsidRDefault="00DB42FE" w:rsidP="00616347">
      <w:pPr>
        <w:pStyle w:val="EndNoteBibliography"/>
        <w:spacing w:after="0"/>
        <w:ind w:left="360"/>
      </w:pPr>
      <w:r w:rsidRPr="003532DF">
        <w:t xml:space="preserve">A void volume, which is measured by helium expansion tests and used in the calculation of methane adsorption amounts, is always overestimated due to helium adsorption. In this study, by comparing void volumes of carbon nanopores determined under different temperatures and pressures using GCMC (Grand Canonical Monte Carlo) simulation, suitable experimental conditions for helium expansion tests are obtained. Five volumes, including one apparent volume </w:t>
      </w:r>
      <w:r w:rsidRPr="003532DF">
        <w:rPr>
          <w:i/>
        </w:rPr>
        <w:t>V</w:t>
      </w:r>
      <w:r w:rsidRPr="003532DF">
        <w:rPr>
          <w:i/>
          <w:vertAlign w:val="subscript"/>
        </w:rPr>
        <w:t>app</w:t>
      </w:r>
      <w:r w:rsidRPr="003532DF">
        <w:t xml:space="preserve">, three referred volumes </w:t>
      </w:r>
      <w:r w:rsidRPr="003532DF">
        <w:rPr>
          <w:i/>
        </w:rPr>
        <w:t>V</w:t>
      </w:r>
      <w:r w:rsidRPr="003532DF">
        <w:rPr>
          <w:i/>
          <w:vertAlign w:val="subscript"/>
        </w:rPr>
        <w:t>ref</w:t>
      </w:r>
      <w:r w:rsidRPr="003532DF">
        <w:t xml:space="preserve"> and one physical volume </w:t>
      </w:r>
      <w:r w:rsidRPr="003532DF">
        <w:rPr>
          <w:i/>
        </w:rPr>
        <w:t>V</w:t>
      </w:r>
      <w:r w:rsidRPr="003532DF">
        <w:rPr>
          <w:i/>
          <w:vertAlign w:val="subscript"/>
        </w:rPr>
        <w:t>phy</w:t>
      </w:r>
      <w:r w:rsidRPr="003532DF">
        <w:t xml:space="preserve">, are recognized. The apparent volume </w:t>
      </w:r>
      <w:r w:rsidRPr="003532DF">
        <w:rPr>
          <w:i/>
        </w:rPr>
        <w:t>V</w:t>
      </w:r>
      <w:r w:rsidRPr="003532DF">
        <w:rPr>
          <w:i/>
          <w:vertAlign w:val="subscript"/>
        </w:rPr>
        <w:t>app</w:t>
      </w:r>
      <w:r w:rsidRPr="003532DF">
        <w:t xml:space="preserve"> corresponds to the volume directly determined under traditional experimental conditions, while three referred volumes are determined at 500 K with different pressure ranges (low, moderate, high). The physical volume is calculated by multiplying a pore width and a surface area. Besides, a volume determined by using a helium probe is named an accessible volume </w:t>
      </w:r>
      <w:r w:rsidRPr="003532DF">
        <w:rPr>
          <w:i/>
        </w:rPr>
        <w:t>V</w:t>
      </w:r>
      <w:r w:rsidRPr="003532DF">
        <w:rPr>
          <w:i/>
          <w:vertAlign w:val="subscript"/>
        </w:rPr>
        <w:t>acc</w:t>
      </w:r>
      <w:r w:rsidRPr="003532DF">
        <w:t xml:space="preserve"> and used as a criterion for a determined volume through mass balance. It is found that use of a void volume determined under traditional experimental conditions or a physical volume leads to negative adsorption amounts at high pressures. Considering an economic effect and measurement accuracy, determining a void volume by helium expansion tests within a moderate pressure range at 500 K is suggested. Excess isotherms </w:t>
      </w:r>
      <w:r w:rsidRPr="003532DF">
        <w:lastRenderedPageBreak/>
        <w:t>of methane calculated by the suggested volume are more appropriate and of great physical meanings for further investigation of adsorption mechanisms.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Yuan, Z., Liu, D., Masqué, P., Zhao, M., Song, X., Keesing, J.K., </w:t>
      </w:r>
      <w:r w:rsidR="00616347">
        <w:t xml:space="preserve">2020. </w:t>
      </w:r>
      <w:r w:rsidRPr="003532DF">
        <w:t>Phytoplankton responses to climate-induced warming and interdecadal oscillation in north-western Australia. Paleoceanography and Paleoclimatology 35, e2019PA003712.</w:t>
      </w:r>
    </w:p>
    <w:p w:rsidR="00DB42FE" w:rsidRPr="003532DF" w:rsidRDefault="00DB42FE" w:rsidP="00616347">
      <w:pPr>
        <w:pStyle w:val="EndNoteBibliography"/>
        <w:ind w:left="360"/>
      </w:pPr>
      <w:r w:rsidRPr="003532DF">
        <w:t>https://doi.org/10.1029/2019PA003712</w:t>
      </w:r>
    </w:p>
    <w:p w:rsidR="00DB42FE" w:rsidRPr="003532DF" w:rsidRDefault="00DB42FE" w:rsidP="00616347">
      <w:pPr>
        <w:pStyle w:val="EndNoteBibliography"/>
        <w:spacing w:after="0"/>
        <w:ind w:left="360"/>
      </w:pPr>
      <w:r w:rsidRPr="003532DF">
        <w:t>Growing evidence has suggested that ocean warming could cause a decline in marine phytoplankton productivity. However, studies in tropical waters have discovered that evolutionary adaptation of local species to warming and positive response to increasing rainfall could avoid the sharp decline in productivity. Here, the decadal trends of phytoplankton biomass, reconstructed using the biomarkers of brassicasterol (diatoms) and dinosterol (dinoflagellates), showed a 1.5–3 times increase since the 1950s along a large section of the Kimberley coast, north‐western Australia. Principal component analysis found that 56% of the phytoplankton variance was linked with climate change‐induced increases in sea surface temperature and rainfall associated with increased tropical cyclones, which can enhance nutrient supply favoring phytoplankton growth and production; 20.4% of the phytoplankton variance tended to be related to the Interdecadal Pacific Oscillation through a mechanism of ocean‐coast interaction. We empirically predict that the negative impact of rising temperatures on phytoplankton in north‐western Australia could be buffered by the increasing tropical cyclones and the coming warm phase of Interdecadal Pacific Oscillation.</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Zamora, S., Wright, D.F., Mooi, R., Lefebvre, B., Guensburg, T.E., Gorzelak, P., David, B., Sumrall, C.D., Cole, S.R., Hunter, A.W., Sprinkle, J., Thompson, J.R., Ewin, T.A.M., Fatka, O., Nardin, E., Reich, M., Nohejlová, M., Rahman, I.A., </w:t>
      </w:r>
      <w:r w:rsidR="00616347">
        <w:t xml:space="preserve">2020. </w:t>
      </w:r>
      <w:r w:rsidRPr="003532DF">
        <w:t xml:space="preserve">Re-evaluating the phylogenetic position of the enigmatic early Cambrian deuterostome </w:t>
      </w:r>
      <w:r w:rsidRPr="003532DF">
        <w:rPr>
          <w:i/>
        </w:rPr>
        <w:t>Yanjiahella</w:t>
      </w:r>
      <w:r w:rsidRPr="003532DF">
        <w:t>. Nature Communications 11, 1286.</w:t>
      </w:r>
    </w:p>
    <w:p w:rsidR="00DB42FE" w:rsidRPr="003532DF" w:rsidRDefault="00DB42FE" w:rsidP="00616347">
      <w:pPr>
        <w:pStyle w:val="EndNoteBibliography"/>
        <w:ind w:left="360"/>
      </w:pPr>
      <w:r w:rsidRPr="003532DF">
        <w:t>https://doi.org/10.1038/s41467-020-14920-x</w:t>
      </w:r>
    </w:p>
    <w:p w:rsidR="00DB42FE" w:rsidRPr="003532DF" w:rsidRDefault="00DB42FE" w:rsidP="00616347">
      <w:pPr>
        <w:pStyle w:val="EndNoteBibliography"/>
        <w:ind w:left="360"/>
      </w:pPr>
      <w:r w:rsidRPr="003532DF">
        <w:t>Echinoderms are a diverse clade of marine invertebrates with a distinctive body plan. Extant forms are characterized by a calcite skeleton with a mesh-like microstructure (stereom), pentaradial symmetry as adults developed after metamorphosis from a bilateral larva, and a water vascular system with tube feet</w:t>
      </w:r>
      <w:r w:rsidRPr="003532DF">
        <w:rPr>
          <w:u w:val="single"/>
          <w:vertAlign w:val="superscript"/>
        </w:rPr>
        <w:t>1</w:t>
      </w:r>
      <w:r w:rsidRPr="003532DF">
        <w:t>. These characters differentiate echinoderms from their sister group, the bilaterally symmetric hemichordates</w:t>
      </w:r>
      <w:r w:rsidRPr="003532DF">
        <w:rPr>
          <w:u w:val="single"/>
          <w:vertAlign w:val="superscript"/>
        </w:rPr>
        <w:t>2</w:t>
      </w:r>
      <w:r w:rsidRPr="003532DF">
        <w:t>. The morphological gulf between these phyla means that key questions, such as when and how echinoderms diverged from the latest common ancestor shared with hemichordates, have no immediate answer. Topper et al.</w:t>
      </w:r>
      <w:r w:rsidRPr="003532DF">
        <w:rPr>
          <w:u w:val="single"/>
          <w:vertAlign w:val="superscript"/>
        </w:rPr>
        <w:t>3</w:t>
      </w:r>
      <w:r w:rsidRPr="003532DF">
        <w:t xml:space="preserve"> report </w:t>
      </w:r>
      <w:r w:rsidRPr="003532DF">
        <w:rPr>
          <w:i/>
        </w:rPr>
        <w:t>Yanjiahella biscarpa</w:t>
      </w:r>
      <w:r w:rsidRPr="003532DF">
        <w:t xml:space="preserve"> from the Fortunian (~541.0–534.6 Ma) of Hubei Province, China claiming it to be the oldest, most plesiomorphic echinoderm yet discovered. </w:t>
      </w:r>
      <w:r w:rsidRPr="003532DF">
        <w:rPr>
          <w:i/>
        </w:rPr>
        <w:t>Yanjiahella</w:t>
      </w:r>
      <w:r w:rsidRPr="003532DF">
        <w:t xml:space="preserve"> is ~15–20 million years older than the earliest unequivocal echinoderms reported to date</w:t>
      </w:r>
      <w:r w:rsidRPr="003532DF">
        <w:rPr>
          <w:u w:val="single"/>
          <w:vertAlign w:val="superscript"/>
        </w:rPr>
        <w:t>4</w:t>
      </w:r>
      <w:r w:rsidRPr="003532DF">
        <w:t>. Topper et al.</w:t>
      </w:r>
      <w:r w:rsidRPr="003532DF">
        <w:rPr>
          <w:u w:val="single"/>
          <w:vertAlign w:val="superscript"/>
        </w:rPr>
        <w:t>3</w:t>
      </w:r>
      <w:r w:rsidRPr="003532DF">
        <w:t xml:space="preserve"> interpret it as a hemichordate-like echinoderm bridging the gap between these two morphologically disparate sister phyla, with important implications for understanding the origin and early evolution of echinoderms. However, this paper fails to identify a single echinoderm synapomorphy in the fossil material they describe. Moreover, our re-analysis of their phylogenetic character matrix demonstrates that placement of </w:t>
      </w:r>
      <w:r w:rsidRPr="003532DF">
        <w:rPr>
          <w:i/>
        </w:rPr>
        <w:t>Yanjiahella</w:t>
      </w:r>
      <w:r w:rsidRPr="003532DF">
        <w:t xml:space="preserve"> is ambiguous. Affinities of </w:t>
      </w:r>
      <w:r w:rsidRPr="003532DF">
        <w:rPr>
          <w:i/>
        </w:rPr>
        <w:t>Yanjiahella</w:t>
      </w:r>
      <w:r w:rsidRPr="003532DF">
        <w:t xml:space="preserve"> and its potential significance for understanding deuterostome evolution are unclear.</w:t>
      </w:r>
    </w:p>
    <w:p w:rsidR="00DB42FE" w:rsidRPr="003532DF" w:rsidRDefault="00DB42FE" w:rsidP="00616347">
      <w:pPr>
        <w:pStyle w:val="EndNoteBibliography"/>
        <w:ind w:left="360"/>
      </w:pPr>
      <w:r w:rsidRPr="003532DF">
        <w:lastRenderedPageBreak/>
        <w:t>Topper et al.</w:t>
      </w:r>
      <w:r w:rsidRPr="003532DF">
        <w:rPr>
          <w:u w:val="single"/>
          <w:vertAlign w:val="superscript"/>
        </w:rPr>
        <w:t>3</w:t>
      </w:r>
      <w:r w:rsidRPr="003532DF">
        <w:t xml:space="preserve"> report no trace of stereom in </w:t>
      </w:r>
      <w:r w:rsidRPr="003532DF">
        <w:rPr>
          <w:i/>
        </w:rPr>
        <w:t>Yanjiahella biscarpa</w:t>
      </w:r>
      <w:r w:rsidRPr="003532DF">
        <w:t xml:space="preserve">, claiming its absence in the 35 studied specimens results from their preservation as natural molds in gray-black silty-shale, rather than evidence of absence. Most Cambrian echinoderms are preserved as molds, with the original calcite skeleton dissolved during weathering and/or diagenesis. Yet presence of stereom can typically be inferred by direct observations following removal of iron oxides and calcite residues using oxalic acid solutions or latex cast series. Subsequent casting of these molds using latex often reveals relic “ghost” surface textures typical of echinoderms (Fig. </w:t>
      </w:r>
      <w:r w:rsidRPr="003532DF">
        <w:rPr>
          <w:u w:val="single"/>
        </w:rPr>
        <w:t>1</w:t>
      </w:r>
      <w:r w:rsidRPr="003532DF">
        <w:t xml:space="preserve">). Even when these textures are not preserved, latex casting can still provide critical information allowing recognition of skeletal plate arrangements and the position of major apertures. If </w:t>
      </w:r>
      <w:r w:rsidRPr="003532DF">
        <w:rPr>
          <w:i/>
        </w:rPr>
        <w:t>Yanjiahella</w:t>
      </w:r>
      <w:r w:rsidRPr="003532DF">
        <w:t xml:space="preserve"> originally had stereom microstructure in its skeleton, we would expect to see evidence of this in latex casts of the fossils or on the surfaces of the fossils under SEM, once the specimens had been properly prepared, but Topper et al.</w:t>
      </w:r>
      <w:r w:rsidRPr="003532DF">
        <w:rPr>
          <w:u w:val="single"/>
          <w:vertAlign w:val="superscript"/>
        </w:rPr>
        <w:t>3</w:t>
      </w:r>
      <w:r w:rsidRPr="003532DF">
        <w:t xml:space="preserve"> carried out no such work. Indeed, many of the morphological uncertainties about </w:t>
      </w:r>
      <w:r w:rsidRPr="003532DF">
        <w:rPr>
          <w:i/>
        </w:rPr>
        <w:t>Yanjiahella</w:t>
      </w:r>
      <w:r w:rsidRPr="003532DF">
        <w:t xml:space="preserve"> expressed in Topper et al.</w:t>
      </w:r>
      <w:r w:rsidRPr="003532DF">
        <w:rPr>
          <w:u w:val="single"/>
          <w:vertAlign w:val="superscript"/>
        </w:rPr>
        <w:t>3</w:t>
      </w:r>
      <w:r w:rsidRPr="003532DF">
        <w:t xml:space="preserve"> including the original composition, shape and arrangement of plates, and morphology of the stalk might have been resolved if specimens had been cast in latex for study. Therefore, Topper et al.</w:t>
      </w:r>
      <w:r w:rsidRPr="003532DF">
        <w:rPr>
          <w:u w:val="single"/>
          <w:vertAlign w:val="superscript"/>
        </w:rPr>
        <w:t>3</w:t>
      </w:r>
      <w:r w:rsidRPr="003532DF">
        <w:t xml:space="preserve"> omitted a pertinent method to confirm presence of stereom and details of anatomy in their studied specimens....</w:t>
      </w:r>
    </w:p>
    <w:p w:rsidR="00DB42FE" w:rsidRPr="003532DF" w:rsidRDefault="00DB42FE" w:rsidP="00616347">
      <w:pPr>
        <w:pStyle w:val="EndNoteBibliography"/>
        <w:ind w:left="360"/>
      </w:pPr>
      <w:r w:rsidRPr="003532DF">
        <w:t>Recognizing stem echinoderms in the fossil record is key to uncovering the origin and early evolution of the phylum</w:t>
      </w:r>
      <w:r w:rsidRPr="003532DF">
        <w:rPr>
          <w:u w:val="single"/>
          <w:vertAlign w:val="superscript"/>
        </w:rPr>
        <w:t>1</w:t>
      </w:r>
      <w:r w:rsidRPr="003532DF">
        <w:t>. If Topper et al.</w:t>
      </w:r>
      <w:r w:rsidRPr="003532DF">
        <w:rPr>
          <w:u w:val="single"/>
          <w:vertAlign w:val="superscript"/>
        </w:rPr>
        <w:t>3</w:t>
      </w:r>
      <w:r w:rsidRPr="003532DF">
        <w:t xml:space="preserve"> are correct in interpreting </w:t>
      </w:r>
      <w:r w:rsidRPr="003532DF">
        <w:rPr>
          <w:i/>
        </w:rPr>
        <w:t>Yanjiahella</w:t>
      </w:r>
      <w:r w:rsidRPr="003532DF">
        <w:t xml:space="preserve"> as the most plesiomorphic stem echinoderm, then this would be a highly significant discovery for echinoderm paleobiology. Even if </w:t>
      </w:r>
      <w:r w:rsidRPr="003532DF">
        <w:rPr>
          <w:i/>
        </w:rPr>
        <w:t>Yanjiahella</w:t>
      </w:r>
      <w:r w:rsidRPr="003532DF">
        <w:t xml:space="preserve"> is not vindicated as a stem echinoderm, it is clearly an important and intriguing fossil that could help throw light on other aspects of early deuterostome evolution. In our view, further work is needed to determine accurately its morphology and phylogenetic placement.</w:t>
      </w:r>
    </w:p>
    <w:p w:rsidR="00DB42FE" w:rsidRPr="003532DF" w:rsidRDefault="00DB42FE" w:rsidP="00616347">
      <w:pPr>
        <w:pStyle w:val="EndNoteBibliography"/>
        <w:ind w:left="360"/>
      </w:pPr>
      <w:r w:rsidRPr="003532DF">
        <w:t>Original Article: Topper, T. P. et al. A stem group echinoderm from the basal Cambrian of China and the origins of Ambulacraria. Nat. Commun. 10, 1366 (2019).</w:t>
      </w:r>
    </w:p>
    <w:p w:rsidR="00DB42FE" w:rsidRPr="003532DF" w:rsidRDefault="00DB42FE" w:rsidP="00616347">
      <w:pPr>
        <w:pStyle w:val="EndNoteBibliography"/>
        <w:ind w:left="360" w:hanging="360"/>
      </w:pPr>
      <w:r w:rsidRPr="003532DF">
        <w:t xml:space="preserve">Reply to comment: Topper, T.P., Guo, J., Clausen, S., Skovsted, C.B., Zhang, Z., </w:t>
      </w:r>
      <w:r w:rsidR="00616347">
        <w:t xml:space="preserve">2020. </w:t>
      </w:r>
      <w:r w:rsidRPr="003532DF">
        <w:t>Reply to ‘Re-evaluating the phylogenetic position of the enigmatic early Cambrian deuterostome Yanjiahella’. Nature Communications 11, 1287.</w:t>
      </w:r>
    </w:p>
    <w:p w:rsidR="00DB42FE" w:rsidRPr="003532DF" w:rsidRDefault="00DB42FE" w:rsidP="00616347">
      <w:pPr>
        <w:pStyle w:val="EndNoteBibliography"/>
        <w:spacing w:after="0"/>
        <w:ind w:left="360"/>
      </w:pP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Zang, K., Zhang, G., Zhao, H., Xu, X., Zheng, N., Wang, J., Zhang, G., </w:t>
      </w:r>
      <w:r w:rsidR="00616347">
        <w:t xml:space="preserve">2020. </w:t>
      </w:r>
      <w:r w:rsidRPr="003532DF">
        <w:t>Multiple factors dominate the distribution of methane and its sea-to-air flux in the Bohai Sea in summer and autumn of 2014. Marine Pollution Bulletin 154, 111049.</w:t>
      </w:r>
    </w:p>
    <w:p w:rsidR="00DB42FE" w:rsidRPr="003532DF" w:rsidRDefault="00DB42FE" w:rsidP="00616347">
      <w:pPr>
        <w:pStyle w:val="EndNoteBibliography"/>
        <w:ind w:left="360"/>
      </w:pPr>
      <w:r w:rsidRPr="003532DF">
        <w:t>http://www.sciencedirect.com/science/article/pii/S0025326X20301673</w:t>
      </w:r>
    </w:p>
    <w:p w:rsidR="00DB42FE" w:rsidRPr="003532DF" w:rsidRDefault="00DB42FE" w:rsidP="00616347">
      <w:pPr>
        <w:pStyle w:val="EndNoteBibliography"/>
        <w:spacing w:after="0"/>
        <w:ind w:left="360"/>
      </w:pPr>
      <w:r w:rsidRPr="003532DF">
        <w:t>The Bohai Sea is well-known as a source of atmospheric methane (CH</w:t>
      </w:r>
      <w:r w:rsidRPr="003532DF">
        <w:rPr>
          <w:vertAlign w:val="subscript"/>
        </w:rPr>
        <w:t>4</w:t>
      </w:r>
      <w:r w:rsidRPr="003532DF">
        <w:t>). However, the main regulate factors of the spatiotemporal distribution of CH</w:t>
      </w:r>
      <w:r w:rsidRPr="003532DF">
        <w:rPr>
          <w:vertAlign w:val="subscript"/>
        </w:rPr>
        <w:t>4</w:t>
      </w:r>
      <w:r w:rsidRPr="003532DF">
        <w:t xml:space="preserve"> and its sea-to-air flux remain largely unknown. In this study, the observed CH</w:t>
      </w:r>
      <w:r w:rsidRPr="003532DF">
        <w:rPr>
          <w:vertAlign w:val="subscript"/>
        </w:rPr>
        <w:t>4</w:t>
      </w:r>
      <w:r w:rsidRPr="003532DF">
        <w:t xml:space="preserve"> concentration ranged from 4.8 to 32.7 nmol/L and 3.1 to 15.2 nmol/L in August and November of 2014, respectively. The main factors that influence the distribution of CH</w:t>
      </w:r>
      <w:r w:rsidRPr="003532DF">
        <w:rPr>
          <w:vertAlign w:val="subscript"/>
        </w:rPr>
        <w:t>4</w:t>
      </w:r>
      <w:r w:rsidRPr="003532DF">
        <w:t xml:space="preserve"> and its sea-to-air flux were stratification, solubility, and current structure for the mid-west depression basins, the permanent well-mixed seawater column and CH</w:t>
      </w:r>
      <w:r w:rsidRPr="003532DF">
        <w:rPr>
          <w:vertAlign w:val="subscript"/>
        </w:rPr>
        <w:t>4</w:t>
      </w:r>
      <w:r w:rsidRPr="003532DF">
        <w:t xml:space="preserve"> source strength for the centre shallow ridge zone, and the upwelling for the east depression basin, respectively. Meanwhile, wind also plays an important role in sea-to-air CH</w:t>
      </w:r>
      <w:r w:rsidRPr="003532DF">
        <w:rPr>
          <w:vertAlign w:val="subscript"/>
        </w:rPr>
        <w:t>4</w:t>
      </w:r>
      <w:r w:rsidRPr="003532DF">
        <w:t xml:space="preserve"> flux in the study area except the centre shallow ridge zone. Upwelling made the east depression basin the most intensive source of CH</w:t>
      </w:r>
      <w:r w:rsidRPr="003532DF">
        <w:rPr>
          <w:vertAlign w:val="subscript"/>
        </w:rPr>
        <w:t>4</w:t>
      </w:r>
      <w:r w:rsidRPr="003532DF">
        <w:t>, with a flux of 2 to 4 times higher than the other sub-regions.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Zdravkov, A., Stefanova, M., Worobiec, E., Bechtel, A., Marinov, S., Kortenski, J., </w:t>
      </w:r>
      <w:r w:rsidR="00616347">
        <w:t xml:space="preserve">2020. </w:t>
      </w:r>
      <w:r w:rsidRPr="003532DF">
        <w:t>Implications for peat formation in Maritsa-West Basin, SE Bulgaria: Insights from organic petrology, palynology and biomarker assemblage. International Journal of Coal Geology 222, 103447.</w:t>
      </w:r>
    </w:p>
    <w:p w:rsidR="00DB42FE" w:rsidRPr="003532DF" w:rsidRDefault="00DB42FE" w:rsidP="00616347">
      <w:pPr>
        <w:pStyle w:val="EndNoteBibliography"/>
        <w:ind w:left="360"/>
      </w:pPr>
      <w:r w:rsidRPr="003532DF">
        <w:t>http://www.sciencedirect.com/science/article/pii/S0166516219312029</w:t>
      </w:r>
    </w:p>
    <w:p w:rsidR="00DB42FE" w:rsidRPr="003532DF" w:rsidRDefault="00DB42FE" w:rsidP="00616347">
      <w:pPr>
        <w:pStyle w:val="EndNoteBibliography"/>
        <w:ind w:left="360"/>
      </w:pPr>
      <w:r w:rsidRPr="003532DF">
        <w:t>The paper reports the results of the organic petrological, palynological and geochemical characterization of lignite samples from the Kipra lignite seam (Late Miocene, Maritsa-West Basin, Bulgaria). The bulk of the organic matter (OM) is represented by highly gelified detrohuminite with locally abundant leaf-derived ulminite. Liptinite group is characterized by predominance of microsporinite and liptodetrinite, locally with cutinite and fluorinite. Terpene resinite and suberinite are rare. Low TPI and high GI indices indicate peat formation from vegetation with low preservation potential, deposited under water-logged environment of marsh- or fen-type. The palynological results reveal a vegetational community representing different habitats (i.e. mesophytic, marginal and aquatic). The relatively poor preservation of the palynomorphs, however, suggests vegetation that was more diverse during peat formation. Although gymnosperm palynomorphs predominate, the gymnosperm organic matter contribution was probably minor as indicated by the low contents of sesqui- and diterpenoid biomarkers. Because of the absence of triterpenoid biomarkers of neither oleanane, nor lupane or ursane-type, it is considered that angiosperms that do not synthesize their precursors predominated, or the depositional environment had unfavorable characteristics, which prevented the transformation of the triterpenoid precursors.</w:t>
      </w:r>
    </w:p>
    <w:p w:rsidR="00DB42FE" w:rsidRPr="003532DF" w:rsidRDefault="00DB42FE" w:rsidP="00616347">
      <w:pPr>
        <w:pStyle w:val="EndNoteBibliography"/>
        <w:spacing w:after="0"/>
        <w:ind w:left="360"/>
      </w:pPr>
      <w:r w:rsidRPr="003532DF">
        <w:t xml:space="preserve">The extractable organic matter yield from the Kipra lignite is low, and dominated by saturated compounds, while polar compounds and asphaltenes occur in low amounts. Aromatic compounds are completely absent. The saturated hydrocarbons are mainly composed of </w:t>
      </w:r>
      <w:r w:rsidRPr="003532DF">
        <w:rPr>
          <w:i/>
        </w:rPr>
        <w:t>n</w:t>
      </w:r>
      <w:r w:rsidRPr="003532DF">
        <w:t xml:space="preserve">-alkanes, accompanied by minor amounts of branched- (including isoprenoids) and cycloalkanes, sesqui- and diterpenoids, steroids and hopanoids. Straight chain alkanes are prevailed by long-chain homologues, but show rather mature distribution with CPI ~ 1. Biological (e.g. bacterial) activities and/or environmental control are considered as the main factor/s controlling the observed uncommon </w:t>
      </w:r>
      <w:r w:rsidRPr="003532DF">
        <w:rPr>
          <w:i/>
        </w:rPr>
        <w:t>n</w:t>
      </w:r>
      <w:r w:rsidRPr="003532DF">
        <w:t xml:space="preserve">-alkane distributions. A rather uncommon pentacyclic terpenoid, i.e. onocerane I, was tentatively identified in one sample, based on its characteristic fragmentation pattern. Based on its presence, a very specific plant community is considered, and/or specific palaeoenvironmental conditions occurred at least temporarily during the peat formation. However, the responsible plants could not be identified. The low amounts of hopanoid biomarkers, together with the low amounts of </w:t>
      </w:r>
      <w:r w:rsidRPr="003532DF">
        <w:rPr>
          <w:i/>
        </w:rPr>
        <w:t>n</w:t>
      </w:r>
      <w:r w:rsidRPr="003532DF">
        <w:t>-alkanones, are consistent with limited aerobic biodegradation of the plant remains. The mature 22S/(22S + 22R) C</w:t>
      </w:r>
      <w:r w:rsidRPr="003532DF">
        <w:rPr>
          <w:vertAlign w:val="subscript"/>
        </w:rPr>
        <w:t>30</w:t>
      </w:r>
      <w:r w:rsidRPr="003532DF">
        <w:t xml:space="preserve"> hopane ratio (~ 0.55), as well as the random huminite reflectance values (~0.3–0.4%), which are more than twice higher than previously reported, argue for a local increase of coalification degree, presumably due to increased thermal influx around major faults.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Zeng, L., Reid, N., Lu, Y., Hossain, M.M., Saeedi, A., Xie, Q., </w:t>
      </w:r>
      <w:r w:rsidR="00616347">
        <w:t xml:space="preserve">2020. </w:t>
      </w:r>
      <w:r w:rsidRPr="003532DF">
        <w:t>Effect of the fluid–shale interaction on salinity: Implications for high-salinity flowback water during hydraulic fracturing in shales. Energy &amp; Fuels 34, 3031-3040.</w:t>
      </w:r>
    </w:p>
    <w:p w:rsidR="00DB42FE" w:rsidRPr="003532DF" w:rsidRDefault="00DB42FE" w:rsidP="00616347">
      <w:pPr>
        <w:pStyle w:val="EndNoteBibliography"/>
        <w:ind w:left="360"/>
      </w:pPr>
      <w:r w:rsidRPr="003532DF">
        <w:t>https://doi.org/10.1021/acs.energyfuels.9b04311</w:t>
      </w:r>
    </w:p>
    <w:p w:rsidR="00DB42FE" w:rsidRPr="003532DF" w:rsidRDefault="00DB42FE" w:rsidP="00616347">
      <w:pPr>
        <w:pStyle w:val="EndNoteBibliography"/>
        <w:spacing w:after="0"/>
        <w:ind w:left="360"/>
      </w:pPr>
      <w:r w:rsidRPr="003532DF">
        <w:t xml:space="preserve">Hydraulic fracturing has been widely implemented to enhance hydrocarbon production from shale reservoirs. However, one of the main challenges during hydraulic fracturing is to understand what </w:t>
      </w:r>
      <w:r w:rsidRPr="003532DF">
        <w:lastRenderedPageBreak/>
        <w:t>factor(s) trigger high salinity of flowback water, which sometimes can be up to 300 000 mg/L. While several mechanisms have been proposed to explain the controlling factor behind the high salinity of flowback water, there has been little discussion about the effect of fluid–shale interactions (e.g., mineral dissolution and surface complexation) on the high salinity and far less attention has been paid to quantify the contribution of fluid–shale interactions. We thus conducted spontaneous imbibition experiments using deionized water and outcrops from Marcellus, Barnett, and Eagle Ford shale plays with minor precipitated salts. We also monitored the pH, electrical conductivity, and ion concentrations (Cl</w:t>
      </w:r>
      <w:r w:rsidRPr="003532DF">
        <w:rPr>
          <w:vertAlign w:val="superscript"/>
        </w:rPr>
        <w:t>–</w:t>
      </w:r>
      <w:r w:rsidRPr="003532DF">
        <w:t>, K</w:t>
      </w:r>
      <w:r w:rsidRPr="003532DF">
        <w:rPr>
          <w:vertAlign w:val="superscript"/>
        </w:rPr>
        <w:t>+</w:t>
      </w:r>
      <w:r w:rsidRPr="003532DF">
        <w:t>, Ca</w:t>
      </w:r>
      <w:r w:rsidRPr="003532DF">
        <w:rPr>
          <w:vertAlign w:val="superscript"/>
        </w:rPr>
        <w:t>2+</w:t>
      </w:r>
      <w:r w:rsidRPr="003532DF">
        <w:t>, NO</w:t>
      </w:r>
      <w:r w:rsidRPr="003532DF">
        <w:rPr>
          <w:vertAlign w:val="subscript"/>
        </w:rPr>
        <w:t>3</w:t>
      </w:r>
      <w:r w:rsidRPr="003532DF">
        <w:rPr>
          <w:vertAlign w:val="superscript"/>
        </w:rPr>
        <w:t>–</w:t>
      </w:r>
      <w:r w:rsidRPr="003532DF">
        <w:t>, F</w:t>
      </w:r>
      <w:r w:rsidRPr="003532DF">
        <w:rPr>
          <w:vertAlign w:val="superscript"/>
        </w:rPr>
        <w:t>–</w:t>
      </w:r>
      <w:r w:rsidRPr="003532DF">
        <w:t>, Br</w:t>
      </w:r>
      <w:r w:rsidRPr="003532DF">
        <w:rPr>
          <w:vertAlign w:val="superscript"/>
        </w:rPr>
        <w:t>–</w:t>
      </w:r>
      <w:r w:rsidRPr="003532DF">
        <w:t>, and NH</w:t>
      </w:r>
      <w:r w:rsidRPr="003532DF">
        <w:rPr>
          <w:vertAlign w:val="superscript"/>
        </w:rPr>
        <w:t>+</w:t>
      </w:r>
      <w:r w:rsidRPr="003532DF">
        <w:t>) of the surrounding water during the spontaneous imbibition process in 4 consecutive weeks. To quantify the impact of fluid–shale interactions on salinity, we performed geochemical modeling to examine the contribution of mineral dissolution (calcite, albite, quartz, chalcopyrite, pyrite, and dolomite) and surface complexation on fluid salinity. Spontaneous imbibition tests show that Barnett shale plugs imbibed more water than Marcellus and Eagle Ford largely as a result of the highest content of calcite and lowest content of organic carbon. The order of sequence of pH is Eagle Ford (8.3) &gt; Barnett (8.0) &gt; Marcellus (7.6), in line with prediction of geochemical modeling, confirming that pyrite oxidation plays a significant role in local pH and, thereby, brine composition at ambient conditions. Geochemical modeling also shows that salinity increment induced by fluid–shale interactions is less than 3% of flowback water salinity, suggesting a minor impact of fluid–shale interactions on the salinity increase. These findings point out that fluid–fluid and fluid–salt interactions likely play a more important role in high salinity of flowback water during hydraulic fracturing in shales.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Zeng, S.Q., Wang, J., Chen, W.B., Song, C.Y., Zeng, Y.H., Feng, X.L., Wang, D., </w:t>
      </w:r>
      <w:r w:rsidR="00616347">
        <w:t xml:space="preserve">2020. </w:t>
      </w:r>
      <w:r w:rsidRPr="003532DF">
        <w:t>Organic-rich shales in the Upper Triassic Zangxiahe Formation, northern Qiangtang depression, northern Tibet: Depositional environment and hydrocarbon generation potential. Journal of Petroleum Geology 43, 151-169.</w:t>
      </w:r>
    </w:p>
    <w:p w:rsidR="00DB42FE" w:rsidRPr="003532DF" w:rsidRDefault="00DB42FE" w:rsidP="00616347">
      <w:pPr>
        <w:pStyle w:val="EndNoteBibliography"/>
        <w:ind w:left="360"/>
      </w:pPr>
      <w:r w:rsidRPr="003532DF">
        <w:t>https://doi.org/10.1111/jpg.12755</w:t>
      </w:r>
    </w:p>
    <w:p w:rsidR="00DB42FE" w:rsidRPr="003532DF" w:rsidRDefault="00DB42FE" w:rsidP="00616347">
      <w:pPr>
        <w:pStyle w:val="EndNoteBibliography"/>
        <w:ind w:left="360"/>
      </w:pPr>
      <w:r w:rsidRPr="003532DF">
        <w:t>This study reports on the organic geochemical characteristics of high‐TOC shales in the Upper Triassic Zangxiahe Formation from a study area in the north of the Northern Qiangtang Depression, northern Tibet. A total of fifty outcrop samples from the Duoseliangzi, Zangxiahe South and Zangxiahe East locations were studied to evaluate the organic matter content of the shales and their thermal maturity and depositional environment, and to assess their hydrocarbon generation potential.</w:t>
      </w:r>
    </w:p>
    <w:p w:rsidR="00DB42FE" w:rsidRPr="003532DF" w:rsidRDefault="00DB42FE" w:rsidP="00616347">
      <w:pPr>
        <w:pStyle w:val="EndNoteBibliography"/>
        <w:ind w:left="360"/>
      </w:pPr>
      <w:r w:rsidRPr="003532DF">
        <w:t>Zangxiahe Formation shales from the Duoseliangzi profile have moderate to good source rock potential with TOC contents of up to 3.4 wt.% (average 1.2 wt.%) and potential yield (S</w:t>
      </w:r>
      <w:r w:rsidRPr="003532DF">
        <w:rPr>
          <w:vertAlign w:val="subscript"/>
        </w:rPr>
        <w:t>1</w:t>
      </w:r>
      <w:r w:rsidRPr="003532DF">
        <w:t>+S</w:t>
      </w:r>
      <w:r w:rsidRPr="003532DF">
        <w:rPr>
          <w:vertAlign w:val="subscript"/>
        </w:rPr>
        <w:t>2</w:t>
      </w:r>
      <w:r w:rsidRPr="003532DF">
        <w:t>) of up to 1.11 mg HC/g rock. Vitrinite reflectance (R</w:t>
      </w:r>
      <w:r w:rsidRPr="003532DF">
        <w:rPr>
          <w:vertAlign w:val="subscript"/>
        </w:rPr>
        <w:t>o</w:t>
      </w:r>
      <w:r w:rsidRPr="003532DF">
        <w:t>) and T</w:t>
      </w:r>
      <w:r w:rsidRPr="003532DF">
        <w:rPr>
          <w:vertAlign w:val="subscript"/>
        </w:rPr>
        <w:t>max</w:t>
      </w:r>
      <w:r w:rsidRPr="003532DF">
        <w:t xml:space="preserve"> values show that the organic matter is highly mature, corresponding to the condensate/wet gas generation stage. The shales contain mostly Types II and I kerogen mixed with minor Type III, and have relatively high S/C ratios, high contents of amorphous sapropelinite, low Pr/Ph ratios, high values of the C</w:t>
      </w:r>
      <w:r w:rsidRPr="003532DF">
        <w:rPr>
          <w:vertAlign w:val="subscript"/>
        </w:rPr>
        <w:t>35</w:t>
      </w:r>
      <w:r w:rsidRPr="003532DF">
        <w:t xml:space="preserve"> homohopane index (up to 3.58%), abundant gammacerane content, and a predominance of C</w:t>
      </w:r>
      <w:r w:rsidRPr="003532DF">
        <w:rPr>
          <w:vertAlign w:val="subscript"/>
        </w:rPr>
        <w:t>27</w:t>
      </w:r>
      <w:r w:rsidRPr="003532DF">
        <w:t xml:space="preserve"> steranes. These parameters indicate a saline, shallow‐marine depositional setting with an anoxic, stratified water column. The source of organic matter was mainly aquatic OM (algal/bacterial) with subordinate terrigenous OM.</w:t>
      </w:r>
    </w:p>
    <w:p w:rsidR="00DB42FE" w:rsidRPr="003532DF" w:rsidRDefault="00DB42FE" w:rsidP="00616347">
      <w:pPr>
        <w:pStyle w:val="EndNoteBibliography"/>
        <w:ind w:left="360"/>
      </w:pPr>
      <w:r w:rsidRPr="003532DF">
        <w:t xml:space="preserve">Zangxiahe Formation shale samples from the Zangxiahe East and Zangxiahe South locations have relatively low TOC contents (0.2 to 0.8 wt.%) with Type II kerogen, suggesting poor to medium </w:t>
      </w:r>
      <w:r w:rsidRPr="003532DF">
        <w:lastRenderedPageBreak/>
        <w:t>hydrocarbon generation potential. R</w:t>
      </w:r>
      <w:r w:rsidRPr="003532DF">
        <w:rPr>
          <w:vertAlign w:val="subscript"/>
        </w:rPr>
        <w:t>o</w:t>
      </w:r>
      <w:r w:rsidRPr="003532DF">
        <w:t xml:space="preserve"> and T</w:t>
      </w:r>
      <w:r w:rsidRPr="003532DF">
        <w:rPr>
          <w:vertAlign w:val="subscript"/>
        </w:rPr>
        <w:t>max</w:t>
      </w:r>
      <w:r w:rsidRPr="003532DF">
        <w:t xml:space="preserve"> values indicate that organic matter from these locations is overmature.</w:t>
      </w:r>
    </w:p>
    <w:p w:rsidR="00DB42FE" w:rsidRPr="003532DF" w:rsidRDefault="00DB42FE" w:rsidP="00616347">
      <w:pPr>
        <w:pStyle w:val="EndNoteBibliography"/>
        <w:spacing w:after="0"/>
        <w:ind w:left="360"/>
      </w:pPr>
      <w:r w:rsidRPr="003532DF">
        <w:t>The discovery of organic‐rich Upper Triassic shales with source rock potential in the north of the Northern Qiangtang Depression will be of significance for oil and gas exploration elsewhere in the Qiangtang Basin. Future exploration should focus on locations such as Bandaohu to the SE of the study area where the organic‐rich shales are well developed, and where structural traps have been recorded together with potential reservoir rocks and thick mudstones which could act as seals.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Zgonnik, V., </w:t>
      </w:r>
      <w:r w:rsidR="00616347">
        <w:t xml:space="preserve">2020. </w:t>
      </w:r>
      <w:r w:rsidRPr="003532DF">
        <w:t>The occurrence and geoscience of natural hydrogen: A comprehensive review. Earth-Science Reviews 203, 103140.</w:t>
      </w:r>
    </w:p>
    <w:p w:rsidR="00DB42FE" w:rsidRPr="003532DF" w:rsidRDefault="00DB42FE" w:rsidP="00616347">
      <w:pPr>
        <w:pStyle w:val="EndNoteBibliography"/>
        <w:ind w:left="360"/>
      </w:pPr>
      <w:r w:rsidRPr="003532DF">
        <w:t>http://www.sciencedirect.com/science/article/pii/S0012825219304787</w:t>
      </w:r>
    </w:p>
    <w:p w:rsidR="00DB42FE" w:rsidRPr="003532DF" w:rsidRDefault="00DB42FE" w:rsidP="00616347">
      <w:pPr>
        <w:pStyle w:val="EndNoteBibliography"/>
        <w:spacing w:after="0"/>
        <w:ind w:left="360"/>
      </w:pPr>
      <w:r w:rsidRPr="003532DF">
        <w:t>Using an interdisciplinary approach, this paper reviews current knowledge in the field of natural hydrogen. For the first time, it combines perspectives on hydrogen from the literature of the former Eastern bloc with that of the West, including rare hardcopies and recent studies. Data are summarized and classified in three main sections: hydrogen as a free gas in different environments, as inclusions in various rock types, and as dissolved gas in ground water. This review conclusively demonstrates that molecular hydrogen is much more widespread in nature than was previously thought. Hydrogen has been detected at high concentrations, often as the major gas, in all types of geologic environment. A critical evaluation of all the proposed mechanisms regarding the origin of natural hydrogen shows that a deep-seated origin is potentially the most likely explanation for its abundance in nature. By combining available data, an estimate of 23 Tg/year for the total annual flow of hydrogen from geologic sources is proposed. This value is an order of magnitude greater than previous estimate but most likely still not large enough to account for recently discovered worldwide diffusive seepages. Hydrogen could play a critical role in mechanisms taking place in both the shallow and deep geospheres and it can influence a very wide range of natural phenomena. Hydrogen is an essential energy source for many microorganisms. Sampling for hydrogen can be a useful tool in studying natural environments, geologic mapping, monitoring of earthquakes, plotting fault traces and resource exploration. Hydrogen of geologic origin has the potential to become the renewable energy source of the future, with exploratory projects ongoing at the present time. The topic of natural hydrogen is therefore relevant from many different perspectives.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Zhai, H., Xue, Z., Park, H., Aizawa, Y., Baba, Y., Zhang, Y., </w:t>
      </w:r>
      <w:r w:rsidR="00616347">
        <w:t xml:space="preserve">2020. </w:t>
      </w:r>
      <w:r w:rsidRPr="003532DF">
        <w:t>Migration characteristics of supercritical CO</w:t>
      </w:r>
      <w:r w:rsidRPr="003532DF">
        <w:rPr>
          <w:vertAlign w:val="subscript"/>
        </w:rPr>
        <w:t>2</w:t>
      </w:r>
      <w:r w:rsidRPr="003532DF">
        <w:t xml:space="preserve"> microbubble flow in the Berea sandstone revealed by voxel-based X-ray computed tomography imaging analysis. Journal of Natural Gas Science and Engineering 77, 103233.</w:t>
      </w:r>
    </w:p>
    <w:p w:rsidR="00DB42FE" w:rsidRPr="003532DF" w:rsidRDefault="00DB42FE" w:rsidP="00616347">
      <w:pPr>
        <w:pStyle w:val="EndNoteBibliography"/>
        <w:ind w:left="360"/>
      </w:pPr>
      <w:r w:rsidRPr="003532DF">
        <w:t>http://www.sciencedirect.com/science/article/pii/S1875510020300871</w:t>
      </w:r>
    </w:p>
    <w:p w:rsidR="00DB42FE" w:rsidRPr="003532DF" w:rsidRDefault="00DB42FE" w:rsidP="00616347">
      <w:pPr>
        <w:pStyle w:val="EndNoteBibliography"/>
        <w:spacing w:after="0"/>
        <w:ind w:left="360"/>
      </w:pPr>
      <w:r w:rsidRPr="003532DF">
        <w:t>In this study, two supercritical CO</w:t>
      </w:r>
      <w:r w:rsidRPr="003532DF">
        <w:rPr>
          <w:vertAlign w:val="subscript"/>
        </w:rPr>
        <w:t>2</w:t>
      </w:r>
      <w:r w:rsidRPr="003532DF">
        <w:t xml:space="preserve"> (scCO</w:t>
      </w:r>
      <w:r w:rsidRPr="003532DF">
        <w:rPr>
          <w:vertAlign w:val="subscript"/>
        </w:rPr>
        <w:t>2</w:t>
      </w:r>
      <w:r w:rsidRPr="003532DF">
        <w:t>) injection experiments (microbubble flow injection (MBI) and conventional flow injection (CI)) were performed using the same Berea sandstone sample to investigate the unique transport characteristics of microbubble flow. The four-dimensional characteristics of spatial CO</w:t>
      </w:r>
      <w:r w:rsidRPr="003532DF">
        <w:rPr>
          <w:vertAlign w:val="subscript"/>
        </w:rPr>
        <w:t>2</w:t>
      </w:r>
      <w:r w:rsidRPr="003532DF">
        <w:t xml:space="preserve"> saturation (</w:t>
      </w:r>
      <w:r w:rsidRPr="003532DF">
        <w:rPr>
          <w:i/>
        </w:rPr>
        <w:t>S</w:t>
      </w:r>
      <w:r w:rsidRPr="003532DF">
        <w:rPr>
          <w:vertAlign w:val="subscript"/>
        </w:rPr>
        <w:t>CO2</w:t>
      </w:r>
      <w:r w:rsidRPr="003532DF">
        <w:t xml:space="preserve">) and the relationship to the spatial porosity were investigated by utilizing the X-ray computed tomography (CT) imaging. The results show that the microbubble flow has a stronger sweep efficiency than that of the conventional flow, ultimately resulting in higher </w:t>
      </w:r>
      <w:r w:rsidRPr="003532DF">
        <w:rPr>
          <w:i/>
        </w:rPr>
        <w:t>S</w:t>
      </w:r>
      <w:r w:rsidRPr="003532DF">
        <w:rPr>
          <w:vertAlign w:val="subscript"/>
        </w:rPr>
        <w:t>CO2</w:t>
      </w:r>
      <w:r w:rsidRPr="003532DF">
        <w:t>. According to the statistics of saturation distribution, MBI can improve the pore space utilization, particularly in the medium-sized porosity space. Several CO</w:t>
      </w:r>
      <w:r w:rsidRPr="003532DF">
        <w:rPr>
          <w:vertAlign w:val="subscript"/>
        </w:rPr>
        <w:t>2</w:t>
      </w:r>
      <w:r w:rsidRPr="003532DF">
        <w:t xml:space="preserve"> preferential </w:t>
      </w:r>
      <w:r w:rsidRPr="003532DF">
        <w:lastRenderedPageBreak/>
        <w:t>flows, migrated along with the high-permeability layers, were identified. Comparing to CI, the accumulation of CO</w:t>
      </w:r>
      <w:r w:rsidRPr="003532DF">
        <w:rPr>
          <w:vertAlign w:val="subscript"/>
        </w:rPr>
        <w:t>2</w:t>
      </w:r>
      <w:r w:rsidRPr="003532DF">
        <w:t xml:space="preserve"> in pore space was enhanced in many local macro-regions during MBI, which produced a discrete distribution manner. These flows not only improve the displacement efficiency of CO</w:t>
      </w:r>
      <w:r w:rsidRPr="003532DF">
        <w:rPr>
          <w:vertAlign w:val="subscript"/>
        </w:rPr>
        <w:t>2</w:t>
      </w:r>
      <w:r w:rsidRPr="003532DF">
        <w:t xml:space="preserve"> in occupied pore space but also further enhance the subsequent vertical CO</w:t>
      </w:r>
      <w:r w:rsidRPr="003532DF">
        <w:rPr>
          <w:vertAlign w:val="subscript"/>
        </w:rPr>
        <w:t>2</w:t>
      </w:r>
      <w:r w:rsidRPr="003532DF">
        <w:t xml:space="preserve"> infiltration from the high-to low-permeability layers. The final experimental result shows that the dual advantages of CO</w:t>
      </w:r>
      <w:r w:rsidRPr="003532DF">
        <w:rPr>
          <w:vertAlign w:val="subscript"/>
        </w:rPr>
        <w:t>2</w:t>
      </w:r>
      <w:r w:rsidRPr="003532DF">
        <w:t xml:space="preserve"> microbubble flow in sweeping and displacement can effectively improve CO</w:t>
      </w:r>
      <w:r w:rsidRPr="003532DF">
        <w:rPr>
          <w:vertAlign w:val="subscript"/>
        </w:rPr>
        <w:t>2</w:t>
      </w:r>
      <w:r w:rsidRPr="003532DF">
        <w:t xml:space="preserve"> storage capacity.</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Zhai, X., Luo, P., Gu, Z., Jiang, H., Zhang, B., Wang, Z., Wang, T., Wu, S., </w:t>
      </w:r>
      <w:r w:rsidR="00616347">
        <w:t xml:space="preserve">2020. </w:t>
      </w:r>
      <w:r w:rsidRPr="003532DF">
        <w:t>Microbial mineralization of botryoidal laminations in the Upper Ediacaran dolostones, Western Yangtze Platform, SW China. Journal of Asian Earth Sciences 195, 104334.</w:t>
      </w:r>
    </w:p>
    <w:p w:rsidR="00DB42FE" w:rsidRPr="003532DF" w:rsidRDefault="00DB42FE" w:rsidP="00616347">
      <w:pPr>
        <w:pStyle w:val="EndNoteBibliography"/>
        <w:ind w:left="360"/>
      </w:pPr>
      <w:r w:rsidRPr="003532DF">
        <w:t>http://www.sciencedirect.com/science/article/pii/S1367912020301152</w:t>
      </w:r>
    </w:p>
    <w:p w:rsidR="00DB42FE" w:rsidRPr="003532DF" w:rsidRDefault="00DB42FE" w:rsidP="00616347">
      <w:pPr>
        <w:pStyle w:val="EndNoteBibliography"/>
        <w:spacing w:after="0"/>
        <w:ind w:left="360"/>
      </w:pPr>
      <w:r w:rsidRPr="003532DF">
        <w:t>Botryoidal dolostones are abundant in the Second Member of the Upper Ediacaran Dengying Formation in the Western Yangtze Platform. Although they have been extensively discussed as important host rocks for giant gas reservoirs, there is no consensus on the microbial impact on mineralization processes in the botryoidal laminations. Typical botryoidal laminations were studied under optical microscopes and scanning electron microscopes (SEMs) to investigate their origin. There are three macroscopic morphological types of botryoidal lamination: stromatoid lamination, cavity-lining lamination, and spherical-encrusting lamination. These three types of lamination are composed of fibrous and bladed crystals growing perpendicular to the botryoidal laminae, which have hitherto been implicitly considered to be from abiogenic chemical precipitation. There are many lines of new evidence that demonstrate microbial activities in the interbedded dark and bright laminae constituting the laminations. In the dark laminae, euhedral dolomite rhombs are observed sticking to linear and tubular filaments, or wrapped in sheets of extracellular polymeric substances (EPS) with dolomite crystal sizes of generally &lt;5 μm. The bright laminae are dominated by coarser dolomites and connected by radial sheaths and trichomes with dolomite crystal sizes of primarily around 10 μm. Different species of bacteria, which are closely related to the macroscopic morphology of the laminations, are present in both the bright and dark laminae. The results are useful in understanding the origin and formation mechanisms of the Neoproterozoic botryoidal dolostones. The new findings may also shed new light on the occurrence and evolution of early life on Earth in the Precambrian Era.</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Zhan, Z.-W., Lin, X.-H., Zou, Y.-R., Li, Z., Peng, P.a., </w:t>
      </w:r>
      <w:r w:rsidR="00616347">
        <w:t xml:space="preserve">2020. </w:t>
      </w:r>
      <w:r w:rsidRPr="003532DF">
        <w:t>Chemometric identification of crude oil families and deconvolution of mixtures in the surrounding Niuzhuang sag, Bohai Bay Basin, China. American Association of Petroleum Geologists Bulletin 104, 863-885.</w:t>
      </w:r>
    </w:p>
    <w:p w:rsidR="00DB42FE" w:rsidRPr="003532DF" w:rsidRDefault="00DB42FE" w:rsidP="00616347">
      <w:pPr>
        <w:pStyle w:val="EndNoteBibliography"/>
        <w:ind w:left="360"/>
      </w:pPr>
      <w:r w:rsidRPr="003532DF">
        <w:t>http://archives.datapages.com/data/bulletns/2020/04apr/BLTN18043/bltn18043.html</w:t>
      </w:r>
    </w:p>
    <w:p w:rsidR="00DB42FE" w:rsidRPr="003532DF" w:rsidRDefault="00DB42FE" w:rsidP="00616347">
      <w:pPr>
        <w:pStyle w:val="EndNoteBibliography"/>
        <w:spacing w:after="0"/>
        <w:ind w:left="360"/>
      </w:pPr>
      <w:r w:rsidRPr="003532DF">
        <w:t>A total of 46 crude oil samples recovered from the surrounding Niuzhuang sag were investigated to gain insight into the petroleum systems in the Dongying depression. Chemometrics identified four genetically distinct oil families. Family 1 fails to match any of the source rocks that have been discovered thus far. The candidate source rock must contain algal organic matter that could produce more negative carbon isotopic composition, large quantities of wax, C</w:t>
      </w:r>
      <w:r w:rsidRPr="003532DF">
        <w:rPr>
          <w:vertAlign w:val="subscript"/>
        </w:rPr>
        <w:t>29</w:t>
      </w:r>
      <w:r w:rsidRPr="003532DF">
        <w:t xml:space="preserve"> steranes, and tricyclic terpenoids compared to the Eocene Shahejie (Es) Formation intervals Es3 and Es4 and deposited in a reducing, stratified saline water environment. Family 2 is featured by high ratios of sterane/hopane, gammacerane/hopane, and C</w:t>
      </w:r>
      <w:r w:rsidRPr="003532DF">
        <w:rPr>
          <w:vertAlign w:val="subscript"/>
        </w:rPr>
        <w:t>35</w:t>
      </w:r>
      <w:r w:rsidRPr="003532DF">
        <w:t>/C</w:t>
      </w:r>
      <w:r w:rsidRPr="003532DF">
        <w:rPr>
          <w:vertAlign w:val="subscript"/>
        </w:rPr>
        <w:t>34</w:t>
      </w:r>
      <w:r w:rsidRPr="003532DF">
        <w:t xml:space="preserve"> homohopane and low pristane/phytane ratios. The source rock </w:t>
      </w:r>
      <w:r w:rsidRPr="003532DF">
        <w:lastRenderedPageBreak/>
        <w:t>is the upper Es4 interval. Family 3 is characterized by distinctive or even opposite features to family 2. The source rock is the lower Es3 interval. Family 4 is a mixed oil derived from the lower Es3 and upper Es4 source rocks at different thermal maturation. Three end-member oil samples, EM1, EM2, and EM3, were identified by alternating least-squares. As a minor contributor, EM1 has an average value of 10%. As the main contributors, EM2 and EM3 average 53% and 37%, respectively. Oil samples from EM1 and EM2 are derived from the upper Es4 source rock, but EM1 was generated at a lower thermal maturity than EM2. Oil from EM3 was derived from the lower Es3 source rock at peak hydrocarbon generation.</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Zhang, B., Chen, J., Sha, J., Zhang, S., Zeng, J., Chen, P., Yao, D., Liu, W., Wang, X., Zhang, P., Liu, G., Li, X., </w:t>
      </w:r>
      <w:r w:rsidR="00616347">
        <w:t xml:space="preserve">2020. </w:t>
      </w:r>
      <w:r w:rsidRPr="003532DF">
        <w:t>Geochemistry of coal thermally-altered by igneous intrusion: A case study from the Pansan Coal Mine of Huainan Coalfield, Anhui, Eastern China. Journal of Geochemical Exploration 213, 106532.</w:t>
      </w:r>
    </w:p>
    <w:p w:rsidR="00DB42FE" w:rsidRPr="003532DF" w:rsidRDefault="00DB42FE" w:rsidP="00616347">
      <w:pPr>
        <w:pStyle w:val="EndNoteBibliography"/>
        <w:ind w:left="360"/>
      </w:pPr>
      <w:r w:rsidRPr="003532DF">
        <w:t>http://www.sciencedirect.com/science/article/pii/S0375674219305485</w:t>
      </w:r>
    </w:p>
    <w:p w:rsidR="00DB42FE" w:rsidRPr="003532DF" w:rsidRDefault="00DB42FE" w:rsidP="00616347">
      <w:pPr>
        <w:pStyle w:val="EndNoteBibliography"/>
        <w:spacing w:after="0"/>
        <w:ind w:left="360"/>
      </w:pPr>
      <w:r w:rsidRPr="003532DF">
        <w:t>To investigate the geochemical characteristics of thermally-altered coals formed by igneous intrusion, a series of roof and floor mudstone, thermally-altered coal, and igneous rock samples were collected from a representative borehole profile of the Pansan No. 4-2 coals of the Huainan Coalfield, Anhui Province, Eastern China. Furthermore, seven unaltered coal samples from the same coalbed were collected from seven coal mines of the Huainan Coalfield for comparison. The minerals were analyzed using X-ray diffractometry and optical microscopy. The major element oxides and trace elements were determined by X-ray fluorescence (XRF), inductively coupled plasma mass spectrometry (ICP-MS), ICP-MS with collision/reaction cell technology, an ion-selective electrode (ISE), and a DMA-80 mercury analyzer. The results indicate that kaolinite and quartz are the dominant minerals in the thermally-altered coals, and pyrite is dominant at the contact zone between the thermally-altered coal and igneous rock. The unaltered Huainan No. 4-2 coals were slightly enriched in only Cr, Se, and W compared to the Chinese coals. However, the thermally-altered coals were slightly enriched in F and V and depleted in Co, Ni, Hg, Sb, Zn, and W compared to the Chinese coals. Although the igneous intrusion reached a thickness of 1.97 m, it had a limited effect on the trace elements of terrigenous origin, i.e., Li, F, Sr, Sn, V, Cr, Co, Ni, Cs, Sc, Ga, Rb, Zr, Nb, Ag, Cd, In, Ba, Hf, Ta, W, Th, U, and rare earth elements and Y (REY). Contact metamorphism resulted the devolatilization and redeposition of coal organic matter, which increased the Be and Ge concentrations of the thermally-altered coals adjacent to the intrusion. Copper, As, Sb, Tl, and Bi were transported by the igneous intrusion and redeposited in the thermally-altered coals. The coals were almost completely stripped of Zn, Se, Mo, Pb, and Hg by the igneous intrusion.</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Zhang, C., Song, X., Zhi, D., Zhou, X., Yin, T., Yin, Y., Zhu, R., Feng, W., Zhang, B., </w:t>
      </w:r>
      <w:r w:rsidR="00616347">
        <w:t xml:space="preserve">2020. </w:t>
      </w:r>
      <w:r w:rsidRPr="003532DF">
        <w:t>Rethinking on the sedimentary system of terrestrial petroliferous basins: insights from distributive fluvial system  Acta Petrolei Sinica 41, 127-153 http://www.syxb-cps.com.cn/EN/abstract/abstract5827.shtml</w:t>
      </w:r>
    </w:p>
    <w:p w:rsidR="00DB42FE" w:rsidRPr="003532DF" w:rsidRDefault="00DB42FE" w:rsidP="00616347">
      <w:pPr>
        <w:pStyle w:val="EndNoteBibliography"/>
        <w:spacing w:after="0"/>
        <w:ind w:left="360"/>
      </w:pPr>
      <w:r w:rsidRPr="003532DF">
        <w:t xml:space="preserve">In this paper, the fundamental characteristics of the distributive fluvial system (DFS) are briefly described, and the significance of DFS research in the sedimentology and oil and gas exploration within terrestrial petroliferous basins is analyzed and discussed. Rivers in the DFS enter the basin from a vertex and radiate into the sedimentary system. DFS includes the largest mega-fan, medium-sized fluvial fan and the smallest alluvial fan. DFSs occupy most of the sedimentary basins including the rift basins, the compressional basins, the strike-slip basins and the craton basins. The rivers on </w:t>
      </w:r>
      <w:r w:rsidRPr="003532DF">
        <w:lastRenderedPageBreak/>
        <w:t>DFS are distributive, but not always active simultaneously. Downstream in the DFS, the scale of channels decreases and the grain size becomes finer, whereas the ratio of flood plains to channel deposits increases. The sedimentary model of the DFS share the similar shape with the alluvial fan, but their nature is signigicantly different. The slope and area of DFS is positively related to the slope and area of the draining basin. The concept of DFS is the product of the integration of terrestrial basin sedimentology (e.g., research in alluvial fan sedimentology, fluvial sedimentology, and terrigenous sedimentary systems) with modern computer and geo-information technology. DFS research can promote systematization of classification description of fan-shaped sedimentary systems, diversification of sedimentary microfacies, development of sedimentary model, refinement of interpretation of sedimentary process response, and quantification of source-sink system analysis. China's oil and gas resources are mainly terrigenous in origin. It is therefore of great significance to study DFS for perfecting the theoretical framework of terrigenous sedimentology and reservoir geology in China. The study of DFS enlightens us to rethink the distribution pattern of sedimentary systems, the fluvial depositional system, the lithofacies paleo-geographic pattern, and the potential of oil and gas exploration in terrestrial basins.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Zhang, E., Thibaut, L.M., Terauds, A., Raven, M., Tanaka, M.M., van Dorst, J., Wong, S.Y., Crane, S., Ferrari, B.C., </w:t>
      </w:r>
      <w:r w:rsidR="00616347">
        <w:t xml:space="preserve">2020. </w:t>
      </w:r>
      <w:r w:rsidRPr="003532DF">
        <w:t>Lifting the veil on arid-to-hyperarid Antarctic soil microbiomes: a tale of two oases. Microbiome 8, 37.</w:t>
      </w:r>
    </w:p>
    <w:p w:rsidR="00DB42FE" w:rsidRPr="003532DF" w:rsidRDefault="00DB42FE" w:rsidP="00616347">
      <w:pPr>
        <w:pStyle w:val="EndNoteBibliography"/>
        <w:ind w:left="360"/>
      </w:pPr>
      <w:r w:rsidRPr="003532DF">
        <w:t>https://doi.org/10.1186/s40168-020-00809-w</w:t>
      </w:r>
    </w:p>
    <w:p w:rsidR="00DB42FE" w:rsidRPr="003532DF" w:rsidRDefault="00DB42FE" w:rsidP="00616347">
      <w:pPr>
        <w:pStyle w:val="EndNoteBibliography"/>
        <w:ind w:left="360"/>
      </w:pPr>
      <w:r w:rsidRPr="003532DF">
        <w:t>Background: Resident soil microbiota play key roles in sustaining the core ecosystem processes of terrestrial Antarctica, often involving unique taxa with novel functional traits. However, the full scope of biodiversity and the niche-neutral processes underlying these communities remain unclear. In this study, we combine multivariate analyses, co-occurrence networks and fitted species abundance distributions on an extensive set of bacterial, micro-eukaryote and archaeal amplicon sequencing data to unravel soil microbiome patterns of nine sites across two east Antarctic regions, the Vestfold Hills and Windmill Islands. To our knowledge, this is the first microbial biodiversity report on the hyperarid Vestfold Hills soil environment.</w:t>
      </w:r>
    </w:p>
    <w:p w:rsidR="00DB42FE" w:rsidRPr="003532DF" w:rsidRDefault="00DB42FE" w:rsidP="00616347">
      <w:pPr>
        <w:pStyle w:val="EndNoteBibliography"/>
        <w:ind w:left="360"/>
      </w:pPr>
      <w:r w:rsidRPr="003532DF">
        <w:t>Results: Our findings reveal distinct regional differences in phylogenetic composition, abundance and richness amongst microbial taxa. Actinobacteria dominated soils in both regions, yet Bacteroidetes were more abundant in the Vestfold Hills compared to the Windmill Islands, which contained a high abundance of novel phyla. However, intra-region comparisons demonstrate greater homogeneity of soil microbial communities and measured environmental parameters between sites at the Vestfold Hills. Community richness is largely driven by a variable suite of parameters but robust associations between co-existing members highlight potential interactions and sharing of niche space by diverse taxa from all three microbial domains of life examined. Overall, non-neutral processes appear to structure the polar soil microbiomes studied here, with niche partitioning being particularly strong for bacterial communities at the Windmill Islands. Eukaryotic and archaeal communities reveal weaker niche-driven signatures accompanied by multimodality, suggesting the emergence of neutrality.</w:t>
      </w:r>
    </w:p>
    <w:p w:rsidR="00DB42FE" w:rsidRPr="003532DF" w:rsidRDefault="00DB42FE" w:rsidP="00616347">
      <w:pPr>
        <w:pStyle w:val="EndNoteBibliography"/>
        <w:spacing w:after="0"/>
        <w:ind w:left="360"/>
      </w:pPr>
      <w:r w:rsidRPr="003532DF">
        <w:t xml:space="preserve">Conclusion: We provide new information on assemblage patterns, environmental drivers and non-random occurrences for Antarctic soil microbiomes, particularly the Vestfold Hills, where basic diversity, ecology and life history strategies of resident microbiota are largely unknown. Greater </w:t>
      </w:r>
      <w:r w:rsidRPr="003532DF">
        <w:lastRenderedPageBreak/>
        <w:t>understanding of these basic ecological concepts is a pivotal step towards effective conservation management.</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Zhang, L.-S., Liang, S., Zong, M.-H., Yang, J.-G., Lou, W.-Y., </w:t>
      </w:r>
      <w:r w:rsidR="00616347">
        <w:t xml:space="preserve">2020. </w:t>
      </w:r>
      <w:r w:rsidRPr="003532DF">
        <w:t>Microbial synthesis of functional odd-chain fatty acids: a review. World Journal of Microbiology and Biotechnology 36, 35.</w:t>
      </w:r>
    </w:p>
    <w:p w:rsidR="00DB42FE" w:rsidRPr="003532DF" w:rsidRDefault="00DB42FE" w:rsidP="00616347">
      <w:pPr>
        <w:pStyle w:val="EndNoteBibliography"/>
        <w:ind w:left="360"/>
      </w:pPr>
      <w:r w:rsidRPr="003532DF">
        <w:t>https://doi.org/10.1007/s11274-020-02814-5</w:t>
      </w:r>
    </w:p>
    <w:p w:rsidR="00DB42FE" w:rsidRPr="003532DF" w:rsidRDefault="00DB42FE" w:rsidP="00616347">
      <w:pPr>
        <w:pStyle w:val="EndNoteBibliography"/>
        <w:spacing w:after="0"/>
        <w:ind w:left="360"/>
      </w:pPr>
      <w:r w:rsidRPr="003532DF">
        <w:t>Odd-chain fatty acids (OCFAs) naturally occur in bacteria, higher animals, and in plants. During recent years, they have received increasing attention due to their unique pharmacological properties and usefulness for agricultural and industrial applications. Recently, OCFAs have been identified and quantified in a few organisms, and new pharmacological functions of OCFAs have been reported. Some of the publications are related to the optimization of OCFA production through fermentation and genetic engineering. The present review aims to provide a summary on the recent progress in the field of microbial-derived OCFAs. More specifically, we outline the publications of OCFAs related to (i) different sources of OCFAs; (ii) endogenous synthesis of OCFAs; (iii) production of OCFAs through fermentation; (iv) genetic engineering related to OCFA; and (v) role of OCFAs in human health and disease. Finally, some areas that require further research are discussed.</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Zhang, L., Chang, S., Khan, M.Z., Feng, Q., Luo, C., Steiner, M., Forel, M.-B., Liu, K., Clausen, S., </w:t>
      </w:r>
      <w:r w:rsidR="00616347">
        <w:t xml:space="preserve">2020. </w:t>
      </w:r>
      <w:r w:rsidRPr="003532DF">
        <w:t>Influence of palaeo-redox and diagenetic conditions on the spatial distribution of Cambrian biotas: A case study from the upper Shuijingtuo Formation (Cambrian Series 2, Stage 3), Three Gorges area of South China. Palaeogeography, Palaeoclimatology, Palaeoecology 548, 109696.</w:t>
      </w:r>
    </w:p>
    <w:p w:rsidR="00DB42FE" w:rsidRPr="003532DF" w:rsidRDefault="00DB42FE" w:rsidP="00616347">
      <w:pPr>
        <w:pStyle w:val="EndNoteBibliography"/>
        <w:ind w:left="360"/>
      </w:pPr>
      <w:r w:rsidRPr="003532DF">
        <w:t>http://www.sciencedirect.com/science/article/pii/S0031018220301413</w:t>
      </w:r>
    </w:p>
    <w:p w:rsidR="00DB42FE" w:rsidRPr="003532DF" w:rsidRDefault="00DB42FE" w:rsidP="00616347">
      <w:pPr>
        <w:pStyle w:val="EndNoteBibliography"/>
        <w:spacing w:after="0"/>
        <w:ind w:left="360"/>
      </w:pPr>
      <w:r w:rsidRPr="003532DF">
        <w:t xml:space="preserve">From the wake of the Marinoan glaciations to the early Cambrian, the global ocean experienced progressive but likely nonuniform and nonlinear oxygenation to levels that, although still low with respect to the modern ocean, and might be therefrom triggered the ecological expansion of animals. In this study, integrated palaeontological and geochemical analyses were conducted on the upper Shuijingtuo Formation (Cambrian Series 2, Stage 3) which outcrops western Yichang City, Hubei Province, South China, in order to assess the influence of oxygen on Cambrian ecosystem diversification in the local environment. To better understand the oxygen fluctuations in the water column over the Yangtze Block and their correlation with the spatial distributions of marine biota during the early Cambrian, three sections representing different environmental settings are investigated: from the carbonate epicontinental platform (Changkan section) to the intra-platform basin (Luojiacun and Qiaojiaping sections). The semi-quantitative analysis shows that the assemblages from the epicontinental platform are dominated by eodiscoid trilobites and brachiopods. Assemblages from the intra-platform basin differ in being dominated by articulated sponges and possible cnidarians, while brachiopods and trilobites are rare. Diagenetic effects on these observed patterns are assessed by SEM-coupled EDS analysis: they indicate that although such effects cannot be definitely discarded, the observed faunal distribution and relative abundance most probably reflect variations in environmental settings. The geochemical analysis (Mo-EF vs. U-EF) furthermore provides evidence of an oxygen gradient from the edge of the platform down to the intra-platform basin. Variations in palaeo-redox conditions between the different studied settings can be observed, which undoubtedly influenced the observed differentiation of benthic communities. Frequent anoxic events in the intra-platform basin were fatal for benthic </w:t>
      </w:r>
      <w:r w:rsidRPr="003532DF">
        <w:lastRenderedPageBreak/>
        <w:t>communities, but dysoxic environments could have favored the persistence and even prosperity of metazoans such as sponges and possible cnidarians that can endure lower dissolved oxygen in the water column than other groups.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Zhang, R., Liu, S., He, L., Blach, T.P., Wang, Y., </w:t>
      </w:r>
      <w:r w:rsidR="00616347">
        <w:t xml:space="preserve">2020. </w:t>
      </w:r>
      <w:r w:rsidRPr="003532DF">
        <w:t>Characterizing anisotropic pore structure and its impact on gas storage and transport in coalbed methane and shale gas reservoirs. Energy &amp; Fuels 34, 3161-3172.</w:t>
      </w:r>
    </w:p>
    <w:p w:rsidR="00DB42FE" w:rsidRPr="003532DF" w:rsidRDefault="00DB42FE" w:rsidP="00616347">
      <w:pPr>
        <w:pStyle w:val="EndNoteBibliography"/>
        <w:ind w:left="360"/>
      </w:pPr>
      <w:r w:rsidRPr="003532DF">
        <w:t>https://doi.org/10.1021/acs.energyfuels.0c00109</w:t>
      </w:r>
    </w:p>
    <w:p w:rsidR="00DB42FE" w:rsidRPr="003532DF" w:rsidRDefault="00DB42FE" w:rsidP="00616347">
      <w:pPr>
        <w:pStyle w:val="EndNoteBibliography"/>
        <w:spacing w:after="0"/>
        <w:ind w:left="360"/>
      </w:pPr>
      <w:r w:rsidRPr="003532DF">
        <w:t>Anisotropic pore structure affects fluid storage and transport behaviors in rock matrix. In this study, we quantitatively investigate the anisotropic pore structure properties of coal and shale through small-angle neutron scattering associated with contrast-matching method. Experimental 2D scattering profiles from the samples cut parallel and perpendicular to the bedding indicate isotropic 3D spherical scattering profile for Hazleton coal and anisotropic 3D ellipsoidal scattering profile for Marcellus shale. Apparent porosity and surface area of total pores are similar between the samples cut parallel and perpendicular to the bedding for Hazleton coal but are higher for the sample cut perpendicular to the bedding than the sample cut parallel to the bedding for Marcellus shale. Apparent pore accessibility follows the trend powder sample &gt; sample cut perpendicular to the bedding &gt; sample cut parallel to the bedding for both the measured coal and shale, indicating nanopores near the surface of granular particles have higher pore accessibility than those inside granular particles. It was captured that the measured coal has less porosity, surface area, and pore accessibility than the measured shale for each type of sample. In addition, based on the apparent pore properties of accessible pores, microscopic transport mechanism could be that fluid preferably diffuses along the bedding direction in coalbed methane and shale gas reservoirs.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Zhang, S., Liu, Q., Tang, M., Liu, Y., </w:t>
      </w:r>
      <w:r w:rsidR="00616347">
        <w:t xml:space="preserve">2020. </w:t>
      </w:r>
      <w:r w:rsidRPr="003532DF">
        <w:t xml:space="preserve">Molecular-level mechanism of phosphoric acid digestion of carbonates and recalibration of the </w:t>
      </w:r>
      <w:r w:rsidRPr="003532DF">
        <w:rPr>
          <w:vertAlign w:val="superscript"/>
        </w:rPr>
        <w:t>13</w:t>
      </w:r>
      <w:r w:rsidRPr="003532DF">
        <w:t>C–</w:t>
      </w:r>
      <w:r w:rsidRPr="003532DF">
        <w:rPr>
          <w:vertAlign w:val="superscript"/>
        </w:rPr>
        <w:t>18</w:t>
      </w:r>
      <w:r w:rsidRPr="003532DF">
        <w:t>O clumped isotope thermometer. ACS Earth and Space Chemistry 4, 420-433.</w:t>
      </w:r>
    </w:p>
    <w:p w:rsidR="00DB42FE" w:rsidRPr="003532DF" w:rsidRDefault="00DB42FE" w:rsidP="00616347">
      <w:pPr>
        <w:pStyle w:val="EndNoteBibliography"/>
        <w:ind w:left="360"/>
      </w:pPr>
      <w:r w:rsidRPr="003532DF">
        <w:t>https://doi.org/10.1021/acsearthspacechem.9b00307</w:t>
      </w:r>
    </w:p>
    <w:p w:rsidR="00DB42FE" w:rsidRPr="003532DF" w:rsidRDefault="00DB42FE" w:rsidP="00616347">
      <w:pPr>
        <w:pStyle w:val="EndNoteBibliography"/>
        <w:spacing w:after="0"/>
        <w:ind w:left="360"/>
      </w:pPr>
      <w:r w:rsidRPr="003532DF">
        <w:t xml:space="preserve">The kinetic isotope effect (KIE) produced by the phosphoric acid digestion reaction of carbonates has been well studied since the beginning of stable isotope geochemistry, but its molecular-level mechanism remains elusive. Importantly, the validity of carbonate </w:t>
      </w:r>
      <w:r w:rsidRPr="003532DF">
        <w:rPr>
          <w:vertAlign w:val="superscript"/>
        </w:rPr>
        <w:t>13</w:t>
      </w:r>
      <w:r w:rsidRPr="003532DF">
        <w:t>C–</w:t>
      </w:r>
      <w:r w:rsidRPr="003532DF">
        <w:rPr>
          <w:vertAlign w:val="superscript"/>
        </w:rPr>
        <w:t>18</w:t>
      </w:r>
      <w:r w:rsidRPr="003532DF">
        <w:t>O clumped isotope thermometry, which is heavily based on the phosphoric acid digestion treatment, needs further study. The existing Δ</w:t>
      </w:r>
      <w:r w:rsidRPr="003532DF">
        <w:rPr>
          <w:vertAlign w:val="subscript"/>
        </w:rPr>
        <w:t>47</w:t>
      </w:r>
      <w:r w:rsidRPr="003532DF">
        <w:t>–</w:t>
      </w:r>
      <w:r w:rsidRPr="003532DF">
        <w:rPr>
          <w:i/>
        </w:rPr>
        <w:t>T</w:t>
      </w:r>
      <w:r w:rsidRPr="003532DF">
        <w:t xml:space="preserve"> relationships calibrated by different groups are incompatible and create substantial confusion in the community. Here, we propose a new model of the molecular-level mechanism of the phosphoric acid digestion reaction of carbonates. This new model, which points out that there are three parallel pathways undergoing for the phosphoric acid digestion process, can explain a large part of discrepancies of the Δ</w:t>
      </w:r>
      <w:r w:rsidRPr="003532DF">
        <w:rPr>
          <w:vertAlign w:val="subscript"/>
        </w:rPr>
        <w:t>47</w:t>
      </w:r>
      <w:r w:rsidRPr="003532DF">
        <w:t>–</w:t>
      </w:r>
      <w:r w:rsidRPr="003532DF">
        <w:rPr>
          <w:i/>
        </w:rPr>
        <w:t>T</w:t>
      </w:r>
      <w:r w:rsidRPr="003532DF">
        <w:t xml:space="preserve"> relationships obtained by different groups in slightly different experimental conditions. Specifically, it provides different clumped isotope enrichment factors for the reaction at 25, 70, and 90 °C than previous theoretical studies. Under the absolute reference frame (ARF) treatment, these factors are important to obtain comparable Δ</w:t>
      </w:r>
      <w:r w:rsidRPr="003532DF">
        <w:rPr>
          <w:vertAlign w:val="subscript"/>
        </w:rPr>
        <w:t>47</w:t>
      </w:r>
      <w:r w:rsidRPr="003532DF">
        <w:t>–</w:t>
      </w:r>
      <w:r w:rsidRPr="003532DF">
        <w:rPr>
          <w:i/>
        </w:rPr>
        <w:t>T</w:t>
      </w:r>
      <w:r w:rsidRPr="003532DF">
        <w:t xml:space="preserve"> relationships. Combined with the equilibrium clumped isotope fractionation factors, which are recalculated using higher-order theoretical treatments, e.g., the anharmonic corrections, a new theoretical Δ</w:t>
      </w:r>
      <w:r w:rsidRPr="003532DF">
        <w:rPr>
          <w:vertAlign w:val="subscript"/>
        </w:rPr>
        <w:t>47</w:t>
      </w:r>
      <w:r w:rsidRPr="003532DF">
        <w:t>–</w:t>
      </w:r>
      <w:r w:rsidRPr="003532DF">
        <w:rPr>
          <w:i/>
        </w:rPr>
        <w:t>T</w:t>
      </w:r>
      <w:r w:rsidRPr="003532DF">
        <w:t xml:space="preserve"> relationship is built. This new relationship is no longer a single line but a range that </w:t>
      </w:r>
      <w:r w:rsidRPr="003532DF">
        <w:lastRenderedPageBreak/>
        <w:t>varies to a small extent due to the changes of individual contributions of the three parallel pathways and reflects slight differences in experimental procedures and conditions. These calibration lines have a constant slope close to those of digested at 90 °C but significantly smaller than those at 25 °C. Based on linear mathematical analysis, an unknown isotope effect causing heavy O isotope enrichment during the experiments at 25 °C can be clearly identified. We speculate that this hidden factor was the cause of the rise of slopes. Using a strictly controlled experiment, the distribution of those calibration lines at 90 °C can be largely narrowed down, providing a good base for constructing an ideal clumped isotope thermometer. Extraction of CO</w:t>
      </w:r>
      <w:r w:rsidRPr="003532DF">
        <w:rPr>
          <w:vertAlign w:val="subscript"/>
        </w:rPr>
        <w:t>2</w:t>
      </w:r>
      <w:r w:rsidRPr="003532DF">
        <w:t xml:space="preserve"> from carbonate by phosphoric acid digestion and measurement of </w:t>
      </w:r>
      <w:r w:rsidRPr="003532DF">
        <w:rPr>
          <w:vertAlign w:val="superscript"/>
        </w:rPr>
        <w:t>17</w:t>
      </w:r>
      <w:r w:rsidRPr="003532DF">
        <w:t>O in CO</w:t>
      </w:r>
      <w:r w:rsidRPr="003532DF">
        <w:rPr>
          <w:vertAlign w:val="subscript"/>
        </w:rPr>
        <w:t>2</w:t>
      </w:r>
      <w:r w:rsidRPr="003532DF">
        <w:t xml:space="preserve"> have been used to obtain accurate </w:t>
      </w:r>
      <w:r w:rsidRPr="003532DF">
        <w:rPr>
          <w:vertAlign w:val="superscript"/>
        </w:rPr>
        <w:t>17</w:t>
      </w:r>
      <w:r w:rsidRPr="003532DF">
        <w:t>O isotope compositions in carbonate minerals. Our three-pathway mechanism model also provides good predictions of triple oxygen isotope relationships during the phosphoric acid digestion process.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Zhang, T., </w:t>
      </w:r>
      <w:r w:rsidR="00616347">
        <w:t xml:space="preserve">2020. </w:t>
      </w:r>
      <w:r w:rsidRPr="003532DF">
        <w:t>Taking on all of the biomass for conversion. Science 367, 1305-1306.</w:t>
      </w:r>
    </w:p>
    <w:p w:rsidR="00DB42FE" w:rsidRPr="003532DF" w:rsidRDefault="00DB42FE" w:rsidP="00616347">
      <w:pPr>
        <w:pStyle w:val="EndNoteBibliography"/>
        <w:ind w:left="360"/>
      </w:pPr>
      <w:r w:rsidRPr="003532DF">
        <w:t>http://science.sciencemag.org/content/367/6484/1305.abstract</w:t>
      </w:r>
    </w:p>
    <w:p w:rsidR="00DB42FE" w:rsidRPr="003532DF" w:rsidRDefault="00DB42FE" w:rsidP="00616347">
      <w:pPr>
        <w:pStyle w:val="EndNoteBibliography"/>
        <w:ind w:left="360"/>
      </w:pPr>
      <w:r w:rsidRPr="003532DF">
        <w:t>The old saying that “you can make everything from biomass except money” sums up the huge challenges of converting lignocellulose into fuels and chemicals in a cost-competitive manner. Most efforts separate its more readily processed cellulose and hemicellulose components from lignin. However, upgrading the methoxylated phenylpropanoid lignin biopolymer (a process called valorization) has become the bottleneck (</w:t>
      </w:r>
      <w:r w:rsidRPr="003532DF">
        <w:rPr>
          <w:i/>
          <w:u w:val="single"/>
        </w:rPr>
        <w:t>1</w:t>
      </w:r>
      <w:r w:rsidRPr="003532DF">
        <w:t xml:space="preserve">). On page 1385 of this issue, Liao </w:t>
      </w:r>
      <w:r w:rsidRPr="003532DF">
        <w:rPr>
          <w:i/>
        </w:rPr>
        <w:t>et al.</w:t>
      </w:r>
      <w:r w:rsidRPr="003532DF">
        <w:t xml:space="preserve"> (</w:t>
      </w:r>
      <w:r w:rsidRPr="003532DF">
        <w:rPr>
          <w:i/>
          <w:u w:val="single"/>
        </w:rPr>
        <w:t>2</w:t>
      </w:r>
      <w:r w:rsidRPr="003532DF">
        <w:t>) address this key issue in a more holistic way. Rather than separate the components, they converted woody biomass into phenol and propylene, two bulk chemicals widely used in the polymer industry, and coproduced valuable phenolic oligomers and a carbohydrate pulp amenable to bioethanol production. The total conversion efficiency is impressive, up to 78% by weight (wt %) based on the initial mass input. Moreover, both technoeconomic analysis and life-cycle assessment reveal that such an integrated process can be profitable and sustainable.</w:t>
      </w:r>
    </w:p>
    <w:p w:rsidR="00DB42FE" w:rsidRPr="003532DF" w:rsidRDefault="00DB42FE" w:rsidP="00616347">
      <w:pPr>
        <w:pStyle w:val="EndNoteBibliography"/>
        <w:ind w:left="360"/>
      </w:pPr>
      <w:r w:rsidRPr="003532DF">
        <w:t>Intensive research efforts have been invested toward valorization of lignin (</w:t>
      </w:r>
      <w:r w:rsidRPr="003532DF">
        <w:rPr>
          <w:i/>
          <w:u w:val="single"/>
        </w:rPr>
        <w:t>3</w:t>
      </w:r>
      <w:r w:rsidRPr="003532DF">
        <w:t xml:space="preserve">), but most studies have focused on the conversion of lignin-related model compounds; few succeeded with real lignocellulose. In contrast to those chemistry-centered studies, Liao </w:t>
      </w:r>
      <w:r w:rsidRPr="003532DF">
        <w:rPr>
          <w:i/>
        </w:rPr>
        <w:t>et al.</w:t>
      </w:r>
      <w:r w:rsidRPr="003532DF">
        <w:t xml:space="preserve"> is more engineering-guided. In particular, the efficient valorization of lignin involves reductive catalytic fractionation (RCF), extraction of phenolic monomers, and catalytic funneling (see the figure). On a lignin basis, this process provided phenol in 20 wt % yield with coproduction of 9 wt % propylene. Most state-of-the-art lignin conversion strategies have produced a mixture of phenols, arenes, and their oligomers (</w:t>
      </w:r>
      <w:r w:rsidRPr="003532DF">
        <w:rPr>
          <w:i/>
          <w:u w:val="single"/>
        </w:rPr>
        <w:t>4</w:t>
      </w:r>
      <w:r w:rsidRPr="003532DF">
        <w:t xml:space="preserve">, </w:t>
      </w:r>
      <w:r w:rsidRPr="003532DF">
        <w:rPr>
          <w:i/>
          <w:u w:val="single"/>
        </w:rPr>
        <w:t>5</w:t>
      </w:r>
      <w:r w:rsidRPr="003532DF">
        <w:t>) that cannot be directly used as chemicals without further expensive and energy-intensive separation operations in downstream utilization.</w:t>
      </w:r>
    </w:p>
    <w:p w:rsidR="00DB42FE" w:rsidRPr="003532DF" w:rsidRDefault="00DB42FE" w:rsidP="00616347">
      <w:pPr>
        <w:pStyle w:val="EndNoteBibliography"/>
        <w:ind w:left="360"/>
      </w:pPr>
      <w:r w:rsidRPr="003532DF">
        <w:t>In their first RCF step, hardwood reacted with added hydrogen (H</w:t>
      </w:r>
      <w:r w:rsidRPr="003532DF">
        <w:rPr>
          <w:vertAlign w:val="subscript"/>
        </w:rPr>
        <w:t>2</w:t>
      </w:r>
      <w:r w:rsidRPr="003532DF">
        <w:t>) over a metal catalyst (ruthenium on a carbon support, Ru/C) to yield lignin oil containing phenolic monomers in near-theoretical yields (</w:t>
      </w:r>
      <w:r w:rsidRPr="003532DF">
        <w:rPr>
          <w:rFonts w:ascii="Cambria Math" w:hAnsi="Cambria Math" w:cs="Cambria Math"/>
        </w:rPr>
        <w:t>∼</w:t>
      </w:r>
      <w:r w:rsidRPr="003532DF">
        <w:t xml:space="preserve">50 wt%) and a solid carbohydrate pulp. This </w:t>
      </w:r>
      <w:r w:rsidRPr="003532DF">
        <w:rPr>
          <w:rFonts w:cs="Calibri"/>
        </w:rPr>
        <w:t>“</w:t>
      </w:r>
      <w:r w:rsidRPr="003532DF">
        <w:t>lignin-first</w:t>
      </w:r>
      <w:r w:rsidRPr="003532DF">
        <w:rPr>
          <w:rFonts w:cs="Calibri"/>
        </w:rPr>
        <w:t>”</w:t>
      </w:r>
      <w:r w:rsidRPr="003532DF">
        <w:t xml:space="preserve"> strategy overcame the condensation of the reactive intermediates and achieves near-complete delignification with little carbohydrate degradation. The monomers in the lignin oil were easily extracted with a less than sixfold added mass of </w:t>
      </w:r>
      <w:r w:rsidRPr="003532DF">
        <w:rPr>
          <w:i/>
        </w:rPr>
        <w:t>n</w:t>
      </w:r>
      <w:r w:rsidRPr="003532DF">
        <w:t>-hexane in a cost-effective way.</w:t>
      </w:r>
    </w:p>
    <w:p w:rsidR="00DB42FE" w:rsidRPr="003532DF" w:rsidRDefault="00DB42FE" w:rsidP="00616347">
      <w:pPr>
        <w:pStyle w:val="EndNoteBibliography"/>
        <w:ind w:left="360"/>
      </w:pPr>
      <w:r w:rsidRPr="003532DF">
        <w:t xml:space="preserve">Given the excellent yields of phenolic monomers and the high extraction efficiency, Liao </w:t>
      </w:r>
      <w:r w:rsidRPr="003532DF">
        <w:rPr>
          <w:i/>
        </w:rPr>
        <w:t>et al.</w:t>
      </w:r>
      <w:r w:rsidRPr="003532DF">
        <w:t xml:space="preserve"> sought an effective catalytic process to convert the lignin monomers into phenol, which is the key step in demonstrating the concept of lignin-to-phenol biorefinery because the phenolic monomers </w:t>
      </w:r>
      <w:r w:rsidRPr="003532DF">
        <w:lastRenderedPageBreak/>
        <w:t>contain both methoxy groups and other versatile substitute groups on different positions of the benzene ring (</w:t>
      </w:r>
      <w:r w:rsidRPr="003532DF">
        <w:rPr>
          <w:i/>
          <w:u w:val="single"/>
        </w:rPr>
        <w:t>1</w:t>
      </w:r>
      <w:r w:rsidRPr="003532DF">
        <w:t>). Removal of these functional groups without destroying the benzene ring and the phenolic hydroxy represents a huge challenge in catalysis, given their similar bond dissociation energy.</w:t>
      </w:r>
    </w:p>
    <w:p w:rsidR="00DB42FE" w:rsidRPr="003532DF" w:rsidRDefault="00DB42FE" w:rsidP="00616347">
      <w:pPr>
        <w:pStyle w:val="EndNoteBibliography"/>
        <w:ind w:left="360"/>
      </w:pPr>
      <w:r w:rsidRPr="003532DF">
        <w:t>To reach this target, a stepwise catalytic process was needed. First, removal of methoxy groups was explored. To make the process economically viable, a solvent- and sulfur-free continuous catalytic gas-phase hydroprocessing was performed over a non–noble metal catalyst, nickel on a silica support (Ni/SiO</w:t>
      </w:r>
      <w:r w:rsidRPr="003532DF">
        <w:rPr>
          <w:vertAlign w:val="subscript"/>
        </w:rPr>
        <w:t>2</w:t>
      </w:r>
      <w:r w:rsidRPr="003532DF">
        <w:t>). Model compound study indicates that the well-dispersed Ni/SiO</w:t>
      </w:r>
      <w:r w:rsidRPr="003532DF">
        <w:rPr>
          <w:vertAlign w:val="subscript"/>
        </w:rPr>
        <w:t>2</w:t>
      </w:r>
      <w:r w:rsidRPr="003532DF">
        <w:t xml:space="preserve"> catalyst showed remarkable versatility on different methoxylated alkylphenols through either direct demethoxylation or tandem demethylation-dehydroxylation. Hydroprocessing of the lignin monomers mixture provides high selectivity (75 to 85%) toward </w:t>
      </w:r>
      <w:r w:rsidRPr="003532DF">
        <w:rPr>
          <w:i/>
        </w:rPr>
        <w:t>n</w:t>
      </w:r>
      <w:r w:rsidRPr="003532DF">
        <w:t>-propylphenols and ethylphenols at nearly complete conversion.</w:t>
      </w:r>
    </w:p>
    <w:p w:rsidR="00DB42FE" w:rsidRPr="003532DF" w:rsidRDefault="00DB42FE" w:rsidP="00616347">
      <w:pPr>
        <w:pStyle w:val="EndNoteBibliography"/>
        <w:ind w:left="360"/>
      </w:pPr>
      <w:r w:rsidRPr="003532DF">
        <w:t>The major byproducts of methoxy cleavage were water and methane, and the reaction proceeded without formation of carbon monoxide or carbon dioxide. Water was beneficial to maintain robust catalytic activity in the next dealkylation step. Methane, together with small molecules (such as excess H</w:t>
      </w:r>
      <w:r w:rsidRPr="003532DF">
        <w:rPr>
          <w:vertAlign w:val="subscript"/>
        </w:rPr>
        <w:t>2</w:t>
      </w:r>
      <w:r w:rsidRPr="003532DF">
        <w:t>, ethylene, methanol, and methyl acetate) generated in other steps, could be incinerated to provide heating, cooling, and electricity.</w:t>
      </w:r>
    </w:p>
    <w:p w:rsidR="00DB42FE" w:rsidRPr="003532DF" w:rsidRDefault="00DB42FE" w:rsidP="00616347">
      <w:pPr>
        <w:pStyle w:val="EndNoteBibliography"/>
        <w:ind w:left="360"/>
      </w:pPr>
      <w:r w:rsidRPr="003532DF">
        <w:t>In the subsequent dealkylation step, the researchers developed a hierarchical catalyst based on ZSM-5, which they named Z140-H, that had a balanced network of micro- and mesopores for the dealkylation of the crude alkylphenol condensates. Near-quantitative transformation through a carbenium mechanism led to a combined yield for phenol and olefins of 82%. Zeolites with smaller or larger pore sizes did not work, because of either pore restriction or a lack of the pore confinement needed for shape-selective conversion. These findings underline the importance of zeolite hierarchization in the dealkylation reaction and the need for customized catalysts.</w:t>
      </w:r>
    </w:p>
    <w:p w:rsidR="00DB42FE" w:rsidRPr="003532DF" w:rsidRDefault="00DB42FE" w:rsidP="00616347">
      <w:pPr>
        <w:pStyle w:val="EndNoteBibliography"/>
        <w:ind w:left="360"/>
      </w:pPr>
      <w:r w:rsidRPr="003532DF">
        <w:t xml:space="preserve">To make the technology sustainable and economically feasible, full valorization and utilization of all of the components in the woody biomass are essential. After extraction of monophenols from lignin crude oil, Liao </w:t>
      </w:r>
      <w:r w:rsidRPr="003532DF">
        <w:rPr>
          <w:i/>
        </w:rPr>
        <w:t>et al.</w:t>
      </w:r>
      <w:r w:rsidRPr="003532DF">
        <w:t xml:space="preserve"> disclosed a new application of the residue oligomers to replace fossil-based </w:t>
      </w:r>
      <w:r w:rsidRPr="003532DF">
        <w:rPr>
          <w:i/>
        </w:rPr>
        <w:t>p</w:t>
      </w:r>
      <w:r w:rsidRPr="003532DF">
        <w:t>-nonylphenol by making high-quality printing ink, which provides an unexplored market potential for phenolic oligomers, a major fraction in almost all the lignin depolymerization processes. As for the carbohydrate pulp generated in the RCF step, it can be readily converted to ethanol after a near-simultaneous saccharification-fermentation process.</w:t>
      </w:r>
    </w:p>
    <w:p w:rsidR="00DB42FE" w:rsidRPr="003532DF" w:rsidRDefault="00DB42FE" w:rsidP="00616347">
      <w:pPr>
        <w:pStyle w:val="EndNoteBibliography"/>
        <w:ind w:left="360"/>
      </w:pPr>
      <w:r w:rsidRPr="003532DF">
        <w:t xml:space="preserve">A technoeconomic analysis indicates that self-energy supply is enough to operate the integrated biorefinery. For a factory with capacity production of 100 kilotons of biophenol per year, an internal rate of return of 23.33% and a payout time of </w:t>
      </w:r>
      <w:r w:rsidRPr="003532DF">
        <w:rPr>
          <w:rFonts w:ascii="Cambria Math" w:hAnsi="Cambria Math" w:cs="Cambria Math"/>
        </w:rPr>
        <w:t>∼</w:t>
      </w:r>
      <w:r w:rsidRPr="003532DF">
        <w:t>4 years for a plant with a lifetime of 20 years are anticipated. Moreover, life-cycle assessment suggested a much lower carbon footprint for phenol and propylene compared to their fossil-based counterparts. Taking into account the manufacturing investment, production efficiency, and product price, as well as the lower carbon footprint, this process shows great potential for practical application.</w:t>
      </w:r>
    </w:p>
    <w:p w:rsidR="00DB42FE" w:rsidRPr="003532DF" w:rsidRDefault="00DB42FE" w:rsidP="00616347">
      <w:pPr>
        <w:pStyle w:val="EndNoteBibliography"/>
        <w:ind w:left="360"/>
      </w:pPr>
      <w:r w:rsidRPr="003532DF">
        <w:t xml:space="preserve">The study by Liao </w:t>
      </w:r>
      <w:r w:rsidRPr="003532DF">
        <w:rPr>
          <w:i/>
        </w:rPr>
        <w:t>et al.</w:t>
      </w:r>
      <w:r w:rsidRPr="003532DF">
        <w:t xml:space="preserve"> not only offers an attractive approach toward the production of phenol and propylene from lignin, it also realizes full utilization of all components in lignocellulose. However, some key issues must be addressed for large-scale commercialization. For instance, nonhardwood feedstocks such as pinewood, cornstalk, and bagasse should be studied to improve versatility. In the RCF step, a large amount of Ru/C catalyst (10% based on wood weight) was used, and a non–noble </w:t>
      </w:r>
      <w:r w:rsidRPr="003532DF">
        <w:lastRenderedPageBreak/>
        <w:t>metal catalyst would be less costly and more sustainable (</w:t>
      </w:r>
      <w:r w:rsidRPr="003532DF">
        <w:rPr>
          <w:i/>
          <w:u w:val="single"/>
        </w:rPr>
        <w:t>6</w:t>
      </w:r>
      <w:r w:rsidRPr="003532DF">
        <w:t>). Further, unlike fuels, the value of chemicals depends on purity, especially for phenol and propylene as monomers for the polymer industry. At present, how to obtain these two products in sufficiently high purity is not clear.</w:t>
      </w:r>
    </w:p>
    <w:p w:rsidR="00DB42FE" w:rsidRPr="003532DF" w:rsidRDefault="00DB42FE" w:rsidP="00616347">
      <w:pPr>
        <w:pStyle w:val="EndNoteBibliography"/>
        <w:ind w:left="360"/>
      </w:pPr>
      <w:r w:rsidRPr="003532DF">
        <w:t>For biorefineries to play a greater role in the production of liquid fuels and chemicals, feedstock conversion must be maximized. Robust catalysts combined with high-efficiency process engineering are still desirable. In fundamental studies, some elegant progress has been achieved recently, including a solar energy–driven lignin-first approach (</w:t>
      </w:r>
      <w:r w:rsidRPr="003532DF">
        <w:rPr>
          <w:i/>
          <w:u w:val="single"/>
        </w:rPr>
        <w:t>7</w:t>
      </w:r>
      <w:r w:rsidRPr="003532DF">
        <w:t>), a formaldehyde stabilization strategy (</w:t>
      </w:r>
      <w:r w:rsidRPr="003532DF">
        <w:rPr>
          <w:i/>
          <w:u w:val="single"/>
        </w:rPr>
        <w:t>8</w:t>
      </w:r>
      <w:r w:rsidRPr="003532DF">
        <w:t>), and mild redoxneutral depolymerization (</w:t>
      </w:r>
      <w:r w:rsidRPr="003532DF">
        <w:rPr>
          <w:i/>
          <w:u w:val="single"/>
        </w:rPr>
        <w:t>9</w:t>
      </w:r>
      <w:r w:rsidRPr="003532DF">
        <w:t>).</w:t>
      </w:r>
    </w:p>
    <w:p w:rsidR="00DB42FE" w:rsidRPr="003532DF" w:rsidRDefault="00DB42FE" w:rsidP="001C7498">
      <w:pPr>
        <w:pStyle w:val="EndNoteBibliography"/>
        <w:spacing w:after="0"/>
        <w:ind w:left="360"/>
      </w:pPr>
      <w:r w:rsidRPr="003532DF">
        <w:t>References and Notes</w:t>
      </w:r>
    </w:p>
    <w:p w:rsidR="00DB42FE" w:rsidRPr="003532DF" w:rsidRDefault="00DB42FE" w:rsidP="001C7498">
      <w:pPr>
        <w:pStyle w:val="EndNoteBibliography"/>
        <w:spacing w:after="0"/>
        <w:ind w:left="360"/>
      </w:pPr>
      <w:r w:rsidRPr="003532DF">
        <w:t>1.   A. J. Ragauskas et al., Science 344, 1246843 (2014).</w:t>
      </w:r>
    </w:p>
    <w:p w:rsidR="00DB42FE" w:rsidRPr="003532DF" w:rsidRDefault="00DB42FE" w:rsidP="001C7498">
      <w:pPr>
        <w:pStyle w:val="EndNoteBibliography"/>
        <w:spacing w:after="0"/>
        <w:ind w:left="360"/>
      </w:pPr>
      <w:r w:rsidRPr="003532DF">
        <w:t>2.   Y. Liao et al., Science 367, 1385 (2020).</w:t>
      </w:r>
    </w:p>
    <w:p w:rsidR="00DB42FE" w:rsidRPr="003532DF" w:rsidRDefault="00DB42FE" w:rsidP="001C7498">
      <w:pPr>
        <w:pStyle w:val="EndNoteBibliography"/>
        <w:spacing w:after="0"/>
        <w:ind w:left="360"/>
      </w:pPr>
      <w:r w:rsidRPr="003532DF">
        <w:t>3.   C. Li, X. Zhao, A. Wang, G. W. Huber, T. Zhang, Chem. Rev. 115, 11559 (2015).</w:t>
      </w:r>
    </w:p>
    <w:p w:rsidR="00DB42FE" w:rsidRPr="003532DF" w:rsidRDefault="00DB42FE" w:rsidP="001C7498">
      <w:pPr>
        <w:pStyle w:val="EndNoteBibliography"/>
        <w:spacing w:after="0"/>
        <w:ind w:left="360"/>
      </w:pPr>
      <w:r w:rsidRPr="003532DF">
        <w:t>4.   R. Rinaldi et al., Angew. Chem. Int. Ed. 55, 8164 (2016).</w:t>
      </w:r>
    </w:p>
    <w:p w:rsidR="00DB42FE" w:rsidRPr="003532DF" w:rsidRDefault="00DB42FE" w:rsidP="001C7498">
      <w:pPr>
        <w:pStyle w:val="EndNoteBibliography"/>
        <w:spacing w:after="0"/>
        <w:ind w:left="360"/>
      </w:pPr>
      <w:r w:rsidRPr="003532DF">
        <w:t>5.   W. Schutyser et al, Chem. Soc. Rev. 47, 852 (2018).</w:t>
      </w:r>
    </w:p>
    <w:p w:rsidR="00DB42FE" w:rsidRPr="003532DF" w:rsidRDefault="00DB42FE" w:rsidP="001C7498">
      <w:pPr>
        <w:pStyle w:val="EndNoteBibliography"/>
        <w:spacing w:after="0"/>
        <w:ind w:left="360"/>
      </w:pPr>
      <w:r w:rsidRPr="003532DF">
        <w:t>6.   H. Guo et al., ChemSusChem 9, 3220 (2016).</w:t>
      </w:r>
    </w:p>
    <w:p w:rsidR="00DB42FE" w:rsidRPr="003532DF" w:rsidRDefault="00DB42FE" w:rsidP="001C7498">
      <w:pPr>
        <w:pStyle w:val="EndNoteBibliography"/>
        <w:spacing w:after="0"/>
        <w:ind w:left="360"/>
      </w:pPr>
      <w:r w:rsidRPr="003532DF">
        <w:t>7.   X. J. Wu et al., Nat. Catal. 1, 772 (2018).</w:t>
      </w:r>
    </w:p>
    <w:p w:rsidR="00DB42FE" w:rsidRPr="003532DF" w:rsidRDefault="00DB42FE" w:rsidP="001C7498">
      <w:pPr>
        <w:pStyle w:val="EndNoteBibliography"/>
        <w:spacing w:after="0"/>
        <w:ind w:left="360"/>
      </w:pPr>
      <w:r w:rsidRPr="003532DF">
        <w:t>8.   L. Shuai et al., Science 354, 329 (2016).</w:t>
      </w:r>
    </w:p>
    <w:p w:rsidR="00DB42FE" w:rsidRPr="003532DF" w:rsidRDefault="00DB42FE" w:rsidP="001C7498">
      <w:pPr>
        <w:pStyle w:val="EndNoteBibliography"/>
        <w:spacing w:after="0"/>
        <w:ind w:left="360"/>
      </w:pPr>
      <w:r w:rsidRPr="003532DF">
        <w:t>9.   Y. X. Liu et al., ACS Catal. 9, 4441 (2019)</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Zhang, X., Liu, C., Guo, Z., Gui, H., Tian, J., Wu, X., Peng, B., Sun, Y., Ping, Y., </w:t>
      </w:r>
      <w:r w:rsidR="00616347">
        <w:t xml:space="preserve">2020. </w:t>
      </w:r>
      <w:r w:rsidRPr="003532DF">
        <w:t>Characteristics and influencing factors of unconventional hydrocarbon accumulation in saline lacustrine fine-grained sedimentary rocks in the northwestern Qaidam Basin. Energy &amp; Fuels 34, 2726-2738.</w:t>
      </w:r>
    </w:p>
    <w:p w:rsidR="00DB42FE" w:rsidRPr="003532DF" w:rsidRDefault="00DB42FE" w:rsidP="00616347">
      <w:pPr>
        <w:pStyle w:val="EndNoteBibliography"/>
        <w:ind w:left="360"/>
      </w:pPr>
      <w:r w:rsidRPr="003532DF">
        <w:t>https://doi.org/10.1021/acs.energyfuels.9b03581</w:t>
      </w:r>
    </w:p>
    <w:p w:rsidR="00DB42FE" w:rsidRPr="003532DF" w:rsidRDefault="00DB42FE" w:rsidP="00616347">
      <w:pPr>
        <w:pStyle w:val="EndNoteBibliography"/>
        <w:spacing w:after="0"/>
        <w:ind w:left="360"/>
      </w:pPr>
      <w:r w:rsidRPr="003532DF">
        <w:t>Although Cenozoic saline lacustrine fine-grained sedimentary rocks with great potential for unconventional oil and gas resources are widely deposited in the northwestern Qaidam Basin, there is still a lack of investigation on their reservoir conditions, owing to complex saline sedimentary environments, relatively low maturity, and strong heterogeneity. Previous studies have shown that the source rocks have a relatively high hydrocarbon generation conversion rate, and several oil-bearing structures have been found in the study area. In this study, core samples of the Neogene saline lacustrine fine-grained sedimentary rocks from representative wells in the study area were collected and investigated. Based on the testing of organic matter abundance, type, and maturity, combined with X-ray diffraction, high-pressure mercury injection (HPMI) and low-temperature liquid nitrogen adsorption tests (N</w:t>
      </w:r>
      <w:r w:rsidRPr="003532DF">
        <w:rPr>
          <w:vertAlign w:val="subscript"/>
        </w:rPr>
        <w:t>2</w:t>
      </w:r>
      <w:r w:rsidRPr="003532DF">
        <w:t>-GS), scanning electron microscopy (SEM), and thin section observations, the hydrocarbon accumulation conditions and pore-development-influencing factors of the samples were studied in detail. New research suggests that (1) Neogene fine-grained sedimentary rocks have relatively low total organic carbon (TOC) content, and the organic matter distribution is controlled by the salinity in the northwestern Qaidam Basin. The salinity and type I organic matter content of the fine-grained sedimentary rocks increase from the Shangganchaigou formation (N</w:t>
      </w:r>
      <w:r w:rsidRPr="003532DF">
        <w:rPr>
          <w:vertAlign w:val="subscript"/>
        </w:rPr>
        <w:t>1</w:t>
      </w:r>
      <w:r w:rsidRPr="003532DF">
        <w:t>) to the Shangyoushashan formation (N</w:t>
      </w:r>
      <w:r w:rsidRPr="003532DF">
        <w:rPr>
          <w:vertAlign w:val="subscript"/>
        </w:rPr>
        <w:t>2</w:t>
      </w:r>
      <w:r w:rsidRPr="003532DF">
        <w:rPr>
          <w:vertAlign w:val="superscript"/>
        </w:rPr>
        <w:t>2</w:t>
      </w:r>
      <w:r w:rsidRPr="003532DF">
        <w:t xml:space="preserve">), whereas their maturity tends to decrease. (2) Mesopores are developed dominantly in these samples. The SEM observations show that most of the pores are interparticle, intraparticle, and intercrystal pores, which are mainly open (parallel plate pores), semiopen, and a certain amount of “ink-bottle” pores. This is not conducive to macropore development in high-salinity samples because schistose salt minerals cover their surfaces. (3) Salinity, mineral content, TOC content, and thermal maturity play important roles in the </w:t>
      </w:r>
      <w:r w:rsidRPr="003532DF">
        <w:lastRenderedPageBreak/>
        <w:t>pore distribution of Neogene fine-grained sedimentary rocks in the northwestern Qaidam Basin, which have salinity as the core-controlling factor. Within a certain salinity range, the Brunauer–Emmett–Teller (BET) specific surface area and mesopore volume of the samples increase gradually with the increasing salinity, whereas the macropore volume changes irregularly. When salinity becomes very high, the BET specific surface area, mesopore volume, and particularly the macropore volume of the samples decrease. This is unfavorable for pore formation and preservation in fine-grained sedimentary rocks. (4) The contents of quartz, feldspar, and pyrite in the samples decrease with increasing salinity, whereas the contents of carbonate mineral and clay mineral increase. The specific surface area of the samples shows a certain positive correlation with the clay mineral content and a negative correlation with the carbonate mineral content. The mesopore volume is positively correlated with TOC content, the sum content of quartz, feldspar, and pyrite, and clay mineral content but negatively correlated with the thermal maturity and carbonate mineral content. Therefore, the fine-grained sedimentary rocks with moderate salinity, relatively high organic carbon content, mature stages, and well-developed pores should be considered for unconventional oil exploration and development in the saline lacustrine basin.</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Zhang, X., Zhang, H., Yu, K., Li, N., Liu, Y., Liu, X., Zhang, H., Yang, B., Wu, W., Gao, J., Jiang, J., </w:t>
      </w:r>
      <w:r w:rsidR="00616347">
        <w:t xml:space="preserve">2020. </w:t>
      </w:r>
      <w:r w:rsidRPr="003532DF">
        <w:t>Rapid monitoring approach for microplastics using portable pyrolysis-mass spectrometry. Analytical Chemistry 92, 4656-4662.</w:t>
      </w:r>
    </w:p>
    <w:p w:rsidR="00DB42FE" w:rsidRPr="003532DF" w:rsidRDefault="00DB42FE" w:rsidP="00616347">
      <w:pPr>
        <w:pStyle w:val="EndNoteBibliography"/>
        <w:ind w:left="360"/>
      </w:pPr>
      <w:r w:rsidRPr="003532DF">
        <w:t>https://doi.org/10.1021/acs.analchem.0c00300</w:t>
      </w:r>
    </w:p>
    <w:p w:rsidR="00DB42FE" w:rsidRPr="003532DF" w:rsidRDefault="00DB42FE" w:rsidP="00616347">
      <w:pPr>
        <w:pStyle w:val="EndNoteBibliography"/>
        <w:spacing w:after="0"/>
        <w:ind w:left="360"/>
      </w:pPr>
      <w:r w:rsidRPr="003532DF">
        <w:t>Microplastics (MPs) pollution has drawn increasing concern due to its widespread occurrence and potential risks in the environment. The reliable methods and instruments for fast analysis of microplastics (MPs) less than 5 mm are urgently needed. In this study, a new method based on custom-made portable pyrolysis-mass spectrometry (Pyr-MS) is developed, which enables rapid identification and mass related quantification of MPs. MPs are decomposed in the compact pyrolyzer and then directly analyzed in the portable MS by the chemical fingerprints of polymers including characteristic ions and their special ratio. It avoids the complex extraction and separation procedures of the pyrolysis/thermogravimetric–gas chromatography–mass spectrometry (Pyr/TGA-GC-MS), realizes the rapid analysis of MPs in 5 min, and thus can practically apply to a large number of MPs samples. In comparison to Fourier transform infrared spectroscopy (FT-IR) and Raman, this method is not limited by the shape, size, and color of MPs. Four common plastics including polyethylene (PE), polypropylene (PP), polystyrene (PS), and poly(methyl methacrylate) (PMMA) were investigated to verify the feasibility of this method. The environmental MPs samples collected from a beach were successfully identified and quantified, demonstrating the simplicity and practicality of this approach. The influence of plastics aging on the chemical fingerprints and the potential of mixed plastics detection by Pyr-MS are also assessed. The portable Pyr-MS could provide a promising tool for in-field analysis of MPs such as ship-based marine MPs surveys.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Zhang, Z., Zhu, G., Chi, L., Wang, P., Zhou, L., Li, J., Wu, Z., </w:t>
      </w:r>
      <w:r w:rsidR="00616347">
        <w:t xml:space="preserve">2020. </w:t>
      </w:r>
      <w:r w:rsidRPr="003532DF">
        <w:t>Discovery of the high-yield well GT1 in the deep strata of the southern margin of the Junggar Basin, China: Implications for liquid petroleum potential in deep assemblage. Journal of Petroleum Science and Engineering 191, 107178.</w:t>
      </w:r>
    </w:p>
    <w:p w:rsidR="00DB42FE" w:rsidRPr="003532DF" w:rsidRDefault="00DB42FE" w:rsidP="00616347">
      <w:pPr>
        <w:pStyle w:val="EndNoteBibliography"/>
        <w:ind w:left="360"/>
      </w:pPr>
      <w:r w:rsidRPr="003532DF">
        <w:t>http://www.sciencedirect.com/science/article/pii/S0920410520302655</w:t>
      </w:r>
    </w:p>
    <w:p w:rsidR="00DB42FE" w:rsidRPr="003532DF" w:rsidRDefault="00DB42FE" w:rsidP="00616347">
      <w:pPr>
        <w:pStyle w:val="EndNoteBibliography"/>
        <w:spacing w:after="0"/>
        <w:ind w:left="360"/>
      </w:pPr>
      <w:r w:rsidRPr="003532DF">
        <w:lastRenderedPageBreak/>
        <w:t>The accumulation assemblages in the deep Jurassic and Cretaceous strata of the southern margin of the Junggar Basin (SMJB) have favorable petroleum accumulation conditions. Due to the huge burial depth, gas/condensate gas reservoirs are expected as the main targets, however, barely any exploration breakthrough has been achieved. The recently drilled well GT1 has obtained a high oil production of &gt;1200 tons/day in the deep Cretaceous strata, which was classified as low gas-to-oil ratio (GOR) light oil. This is the first significant breakthrough in the deep assemblages in the SMJB which brings to the question of its genesis and preservation and the true petroleum potential in the area. In this study, we have presented integrated geochemical analyses including GC × GC-TOFMS, GC-MS and stable carbon isotopes and thus to conclude that the GT1 oil was sourced from Jurassic coal-measure source rocks with maturity of 0.7–0.9%Ro. As only a small amount of diamondoids and ethanodiamondoids were detected, the GT1 oil was classified as normal mature oil well preserved from thermal cracking despite its huge burial depth. The associated gas is coal-type gas with relatively high wetness and the similar maturity to that of the oil. According to the hydrocarbon accumulation analyses, the main source rocks were developed in the Lower-Middle Jurassic with present-day maturity of 1.0%–2.0%Ro. The sandstones developed in the transitional facies in the overlying Lower Cretaceous Qingshuihe Formation were impacted by the tectonic compression and preserved as belt-like distribution in anticline traps. Regional Cretaceous Tugulu Group also overlie these sandstone facies. This forms a favorable source-reservoir-seal assemblage for oil and gas accumulations in the area. Therefore, the deep assemblage in the SMJB is favorable for the accumulation and preservation of large-scale oil reservoirs and shows great potential for liquid petroleum exploration.</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Zhao, W., Su, X., Xia, D., Li, D., Guo, H., </w:t>
      </w:r>
      <w:r w:rsidR="00616347">
        <w:t xml:space="preserve">2020. </w:t>
      </w:r>
      <w:r w:rsidRPr="003532DF">
        <w:t>Contribution of microbial acclimation to lignite biomethanization. Energy &amp; Fuels 34, 3223-3238.</w:t>
      </w:r>
    </w:p>
    <w:p w:rsidR="00DB42FE" w:rsidRPr="003532DF" w:rsidRDefault="00DB42FE" w:rsidP="00616347">
      <w:pPr>
        <w:pStyle w:val="EndNoteBibliography"/>
        <w:ind w:left="360"/>
      </w:pPr>
      <w:r w:rsidRPr="003532DF">
        <w:t>https://doi.org/10.1021/acs.energyfuels.9b03137</w:t>
      </w:r>
    </w:p>
    <w:p w:rsidR="00DB42FE" w:rsidRPr="003532DF" w:rsidRDefault="00DB42FE" w:rsidP="00616347">
      <w:pPr>
        <w:pStyle w:val="EndNoteBibliography"/>
        <w:spacing w:after="0"/>
        <w:ind w:left="360"/>
      </w:pPr>
      <w:r w:rsidRPr="003532DF">
        <w:t>Understanding the bioconversion process of lignite to methane is an important contribution to the establishment of effective utilization of the existing coal resources and the acquisition of environmental biofuels. Microorganisms from coal seams were acclimatized using lignite as the sole carbon source to improve the bioavailability of coal. The contribution of acclimation to biomethanation was discussed from the aspects of mathematical models, the changes of key intermediates in the liquid phase, and the dynamic evolution of the community structure. The results showed that the anaerobic digestion (AD) efficiency of lignite was significantly improved after acclimation. The methane yield revealed that the methane-producing capacity of the bacteria and the bioavailability of lignite were enhanced. The data of 16S rDNA also suggested that the diversity of the bacterial and archaeal communities increased significantly. The stability of the AD system was enhanced. The abundance and types of bacterial genera that had a symbiosis with methanogens increased. The gene function abundance and the reading number of the bacteria in terms of membrane transport, cell motility, and xenobiotic biodegradation and metabolism were significantly improved with acclimation. This study provides an experimental basis for microbially enhancing coalbed methane (MECBM) and clean energy production.</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Zhao, Z., Cheng, X., Hua, X., Jiang, B., Tian, C., Tang, J., Li, Q., Sun, H., Lin, T., Liao, Y., Zhang, G., </w:t>
      </w:r>
      <w:r w:rsidR="00616347">
        <w:t xml:space="preserve">2020. </w:t>
      </w:r>
      <w:r w:rsidRPr="003532DF">
        <w:t>Emerging and legacy per- and polyfluoroalkyl substances in water, sediment, and air of the Bohai Sea and its surrounding rivers. Environmental Pollution 263, 114391.</w:t>
      </w:r>
    </w:p>
    <w:p w:rsidR="00DB42FE" w:rsidRPr="003532DF" w:rsidRDefault="00DB42FE" w:rsidP="00616347">
      <w:pPr>
        <w:pStyle w:val="EndNoteBibliography"/>
        <w:ind w:left="360"/>
      </w:pPr>
      <w:r w:rsidRPr="003532DF">
        <w:lastRenderedPageBreak/>
        <w:t>http://www.sciencedirect.com/science/article/pii/S0269749119374573</w:t>
      </w:r>
    </w:p>
    <w:p w:rsidR="00DB42FE" w:rsidRPr="003532DF" w:rsidRDefault="00DB42FE" w:rsidP="00616347">
      <w:pPr>
        <w:pStyle w:val="EndNoteBibliography"/>
        <w:spacing w:after="0"/>
        <w:ind w:left="360"/>
      </w:pPr>
      <w:r w:rsidRPr="003532DF">
        <w:t>Per- and polyfluoroalkyl substances (PFASs) contamination in the Bohai Sea and its surrounding rivers has attracted considerable attention in recent years. However, few studies have been conducted regarding the distribution of PFASs in multiple environmental media and their distributions between the suspended particles and dissolved phases. In this study, surface water, surface sediment, and air samples were collected at the Bohai Sea to investigate the concentration and distribution of 39 targeted PFASs. Moreover, river water samples from 35 river estuaries were collected to estimate PFAS discharge fluxes to the Bohai Sea. The results showed that total ionic compound (Σ</w:t>
      </w:r>
      <w:r w:rsidRPr="003532DF">
        <w:rPr>
          <w:i/>
        </w:rPr>
        <w:t>i</w:t>
      </w:r>
      <w:r w:rsidRPr="003532DF">
        <w:t>-PFASs) concentrations ranged from 19.3 to 967 ng/L (mean 125 ± 152 ng/L) in the water and 0.70–4.13 ng/g dw (1.78 ± 0.76 ng/g) in surface sediment of the Bohai Sea, respectively. In the estuaries, Σ</w:t>
      </w:r>
      <w:r w:rsidRPr="003532DF">
        <w:rPr>
          <w:i/>
        </w:rPr>
        <w:t>i</w:t>
      </w:r>
      <w:r w:rsidRPr="003532DF">
        <w:t>-PFAS concentrations were ranged from 10.5 to 13500 ng/L (882 ± 2410 ng/L). In the air, ΣPFAS (Σi-PFASs + Σn-PFASs) concentrations ranged from 199 to 678 pg/m</w:t>
      </w:r>
      <w:r w:rsidRPr="003532DF">
        <w:rPr>
          <w:vertAlign w:val="superscript"/>
        </w:rPr>
        <w:t>3</w:t>
      </w:r>
      <w:r w:rsidRPr="003532DF">
        <w:t xml:space="preserve"> (462 ± 166 pg/m</w:t>
      </w:r>
      <w:r w:rsidRPr="003532DF">
        <w:rPr>
          <w:vertAlign w:val="superscript"/>
        </w:rPr>
        <w:t>3</w:t>
      </w:r>
      <w:r w:rsidRPr="003532DF">
        <w:t>). Perfluorooctanoic acid (PFOA) was the predominant compound in the seawater, sediment, and river water; in the air, 8:2 fluorotelomer alcohol was predominant. Xiaoqing River discharged the largest Σi-PFAS flux to the Bohai Sea, which was estimated as 12,100 kg/y. Some alternatives, i.e., 6:2 fluorotelomer sulfonate acid (6:2 FTSA), hexafluoropropylene oxide dimer acid (HFPO-DA), and chlorinated 6:2 polyfluorinated ether sulfonic acid (Cl-6:2 PFESA), showed higher levels than or comparable concentrations to those of the C8 legacy PFASs in some sampling sites. The particle-derived distribution coefficient in seawater was higher than that in the river water. Using high resolution mass spectrometry, 29 nontarget emerging PFASs were found in 3 river water and 3 seawater samples. Further studies should be conducted to clarify the sources and ecotoxicological effects of these emerging PFASs in the Bohai Sea area.</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Zherebker, A., Shirshin, E., Rubekina, A., Kharybin, O., Kononikhin, A., Kulikova, N.A., Zaitsev, K.V., Roznyatovsky, V.A., Grishin, Y.K., Perminova, I.V., Nikolaev, E.N., </w:t>
      </w:r>
      <w:r w:rsidR="00616347">
        <w:t xml:space="preserve">2020. </w:t>
      </w:r>
      <w:r w:rsidRPr="003532DF">
        <w:t>Optical properties of soil dissolved organic matter are related to acidic functions of its components as revealed by fractionation, selective deuteromethylation, and ultrahigh resolution mass spectrometry. Environmental Science &amp; Technology 54, 2667-2677.</w:t>
      </w:r>
    </w:p>
    <w:p w:rsidR="00DB42FE" w:rsidRPr="003532DF" w:rsidRDefault="00DB42FE" w:rsidP="00616347">
      <w:pPr>
        <w:pStyle w:val="EndNoteBibliography"/>
        <w:ind w:left="360"/>
      </w:pPr>
      <w:r w:rsidRPr="003532DF">
        <w:t>https://doi.org/10.1021/acs.est.9b05298</w:t>
      </w:r>
    </w:p>
    <w:p w:rsidR="00DB42FE" w:rsidRPr="003532DF" w:rsidRDefault="00DB42FE" w:rsidP="00616347">
      <w:pPr>
        <w:pStyle w:val="EndNoteBibliography"/>
        <w:spacing w:after="0"/>
        <w:ind w:left="360"/>
      </w:pPr>
      <w:r w:rsidRPr="003532DF">
        <w:t>The goal of this study was to establish a relationship between the optical properties of soil dissolved organic matter (DOM) and acidic functions carried out by its individual constituents. We obtained 12 fractions of DOM samples using sequential solid phase extraction on nonionic sorbent at steadily lowered pH values: 7, 5, 3, 2, which correspond to low bounds of p</w:t>
      </w:r>
      <w:r w:rsidRPr="003532DF">
        <w:rPr>
          <w:i/>
        </w:rPr>
        <w:t>K</w:t>
      </w:r>
      <w:r w:rsidRPr="003532DF">
        <w:rPr>
          <w:vertAlign w:val="subscript"/>
        </w:rPr>
        <w:t>a</w:t>
      </w:r>
      <w:r w:rsidRPr="003532DF">
        <w:t xml:space="preserve"> values of phenols, aliphatic, and aromatic carboxylic acids, and ketoacids. The structural studies were conducted with the use of NMR and selective deuteromethylation of isolated fractions coupled to ultrahigh resolution mass spectrometry. First, a gradual shift of molecular compositions was observed from reduced components to aromatic oxidized compounds isolated at pH 7 and 2, respectively. Changes in molecular compositions were accompanied by a red shift of fluorescence spectra. Further application of deuteromethylation enabled us to distinguish DOM constituents with different amounts of carboxylic groups. Moreover, identification of structural isomers in a single DOM sample was achieved. Statistical analysis revealed that red shift of fluorescence is facilitated by the increase of a contribution of aromatic poly(carboxylic acid)s with high conjugation lengths. Additionally, analysis of the labeled fractionated permafrost thaw DOM directly showed carboxyl-rich alicyclic molecules, while the same components from lower-latitude DOM were assigned to lignin-like species.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Zhong, X., Li, C., Li, Y., Pu, H., Zhou, Y., Zhao, J.X., </w:t>
      </w:r>
      <w:r w:rsidR="00616347">
        <w:t xml:space="preserve">2020. </w:t>
      </w:r>
      <w:r w:rsidRPr="003532DF">
        <w:t>Enhanced oil recovery in high salinity and elevated temperature conditions with a zwitterionic surfactant and silica nanoparticles acting in synergy. Energy &amp; Fuels 34, 2893-2902.</w:t>
      </w:r>
    </w:p>
    <w:p w:rsidR="00DB42FE" w:rsidRPr="003532DF" w:rsidRDefault="00DB42FE" w:rsidP="00616347">
      <w:pPr>
        <w:pStyle w:val="EndNoteBibliography"/>
        <w:ind w:left="360"/>
      </w:pPr>
      <w:r w:rsidRPr="003532DF">
        <w:t>https://doi.org/10.1021/acs.energyfuels.9b04067</w:t>
      </w:r>
    </w:p>
    <w:p w:rsidR="00DB42FE" w:rsidRPr="003532DF" w:rsidRDefault="00DB42FE" w:rsidP="00616347">
      <w:pPr>
        <w:pStyle w:val="EndNoteBibliography"/>
        <w:spacing w:after="0"/>
        <w:ind w:left="360"/>
      </w:pPr>
      <w:r w:rsidRPr="003532DF">
        <w:t>Novel SiO</w:t>
      </w:r>
      <w:r w:rsidRPr="003532DF">
        <w:rPr>
          <w:vertAlign w:val="subscript"/>
        </w:rPr>
        <w:t>2</w:t>
      </w:r>
      <w:r w:rsidRPr="003532DF">
        <w:t xml:space="preserve"> nanoparticles (NPs) costabilized by a low-molecular-weight ligand (steric stabilization) and a zwitterionic surfactant (electrostatic stabilization) were developed for enhanced oil recovery purpose in sandstone reservoirs with high salinity and elevated temperatures. According to our experiments, the proposed NPs were not sensitive to either monovalent or divalent cations, whose size remained around 10.0 nm in API brine within 8 weeks at 25 °C and 4 weeks at 60 °C. Using the zwitterionic surfactant with NPs reduced the NP dosage required to induce wettability alteration and the possibility of severe permeability damage. The presence of NPs in return effectively decreased the surfactant adsorption loss on rocks, reduced the surfactant concentration needed to produce a low interfacial tension, and rendered the oil-wet solid surface toward a more water-wet condition beneficial for water imbibition and oil displacement. Core flooding tests showed that the nanofluid composed of 800 mg/L of zwitterionic surfactant and 2000 mg/L of lab-synthesized SiO</w:t>
      </w:r>
      <w:r w:rsidRPr="003532DF">
        <w:rPr>
          <w:vertAlign w:val="subscript"/>
        </w:rPr>
        <w:t>2</w:t>
      </w:r>
      <w:r w:rsidRPr="003532DF">
        <w:t xml:space="preserve"> NPs was able to recover extra 3.12 and 5.39% original oil-in-place from Berea sandstone cores in the tertiary recovery mode after surfactant flooding or pure NP flooding, respectively. In addition, thanks to the weak interactions between the zwitterionic surfactant and the surface-modified SiO</w:t>
      </w:r>
      <w:r w:rsidRPr="003532DF">
        <w:rPr>
          <w:vertAlign w:val="subscript"/>
        </w:rPr>
        <w:t>2</w:t>
      </w:r>
      <w:r w:rsidRPr="003532DF">
        <w:t xml:space="preserve"> NPs, flexible adjustments can be made to their concentration ratios to customize the desirable nanofluid formulas intended for specific applications.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Zhou, D., Feng, Z., Zhao, Y., </w:t>
      </w:r>
      <w:r w:rsidR="00616347">
        <w:t xml:space="preserve">2020. </w:t>
      </w:r>
      <w:r w:rsidRPr="003532DF">
        <w:t>Study on the methane adsorption characteristics of coal with heterogeneous potential wells. International Journal of Oil, Gas and Coal Technology 23, 312-324.</w:t>
      </w:r>
    </w:p>
    <w:p w:rsidR="00DB42FE" w:rsidRPr="003532DF" w:rsidRDefault="00DB42FE" w:rsidP="00616347">
      <w:pPr>
        <w:pStyle w:val="EndNoteBibliography"/>
        <w:ind w:left="360"/>
      </w:pPr>
      <w:r w:rsidRPr="003532DF">
        <w:t xml:space="preserve">https://doi.org/10.1504/IJOGCT.2020.105774 </w:t>
      </w:r>
    </w:p>
    <w:p w:rsidR="00DB42FE" w:rsidRPr="003532DF" w:rsidRDefault="00DB42FE" w:rsidP="00616347">
      <w:pPr>
        <w:pStyle w:val="EndNoteBibliography"/>
        <w:spacing w:after="0"/>
        <w:ind w:left="360"/>
      </w:pPr>
      <w:r w:rsidRPr="003532DF">
        <w:t xml:space="preserve">Due to the various components and the complex inner structures, the coal has the heterogeneous adsorption potential wells. The methane adsorption laws of the coal with heterogeneous potential wells are theoretically analysed and experimentally studied. It is concluded that the coverage of the potential wells with different depth obeys the law of the logistic (S) curve with the parameters of the adsorption pressure and the temperature. During the methane adsorption in coal, the Langmuir parameter </w:t>
      </w:r>
      <w:r w:rsidRPr="003532DF">
        <w:rPr>
          <w:i/>
        </w:rPr>
        <w:t>a</w:t>
      </w:r>
      <w:r w:rsidRPr="003532DF">
        <w:t xml:space="preserve"> of coal has a fluctuate growth with the adsorption pressure increase, which is indicated that the number of the potential wells in coal with different depth tends to increase with the depth decrease. The Langmuir parameter b shows decrease trend with the adsorption pressure increase as the methane molecules in coal tend to be adsorbed in the deep potential wells. The heterogeneous potential wells method (HPWM) for the methane isothermal adsorption amount calculation is put up. From the experiment, the high positive errors are shown in low adsorption pressures based on the Langmuir's equation while the high negative errors are shown in high adsorption pressures. The methane adsorption amount calculation based on the HPWM is much accurate than that based on the Langmuir equation. </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Zhou, D., Liu, Z., Feng, Z., Shen, Y., Wu, Y., </w:t>
      </w:r>
      <w:r w:rsidR="00616347">
        <w:t xml:space="preserve">2020. </w:t>
      </w:r>
      <w:r w:rsidRPr="003532DF">
        <w:t>The study of the local area density homogenization effect of meso-structures in coal during methane adsorption. Journal of Petroleum Science and Engineering 191, 107141.</w:t>
      </w:r>
    </w:p>
    <w:p w:rsidR="00DB42FE" w:rsidRPr="003532DF" w:rsidRDefault="00DB42FE" w:rsidP="00616347">
      <w:pPr>
        <w:pStyle w:val="EndNoteBibliography"/>
        <w:ind w:left="360"/>
      </w:pPr>
      <w:r w:rsidRPr="003532DF">
        <w:lastRenderedPageBreak/>
        <w:t>http://www.sciencedirect.com/science/article/pii/S0920410520302291</w:t>
      </w:r>
    </w:p>
    <w:p w:rsidR="00DB42FE" w:rsidRPr="003532DF" w:rsidRDefault="00DB42FE" w:rsidP="00616347">
      <w:pPr>
        <w:pStyle w:val="EndNoteBibliography"/>
        <w:spacing w:after="0"/>
        <w:ind w:left="360"/>
      </w:pPr>
      <w:r w:rsidRPr="003532DF">
        <w:t xml:space="preserve">The swelling deformations of coal structures during the methane adsorption cause the changes of the gas migration channels such as mesopores and fractures, which poses a great challenge to evaluate the methane migration efficiency in pore-fracture network structures of coal. Because of the complexity of the multi-scale inhomogeneity meso-structure in coal, the previous studies were failed to propose a unified equation to accurately describe and predict the complex deformation of coal structures during methane adsorption. Through lots of researches of meso structures deformation during methane adsorption in coal, the local area density homogenization effect of the meso structures in coal during methane adsorption was discovered. In view of this, the mechanism of the local area density homogenization effect was analyzed by establish a new model of coal structure, and the local area density homogenization equation of methane adsorption in coal was derived. It indicated that the deformation of meso target structure in coal during the methane adsorption is mainly determined by the density ratio of the target structure to the local area, and the swelling deformation of the local area that contains the target structure, as well as the density homogenization coefficient. Through multi-scale three-dimensional segmentation and statistics of the Computed Tomography (CT) scan data of anthracite sample adsorbed methane under different adsorption pressures, the rule of the local area density homogenization effect was verified. It was found that the deformations of the meso structures in coal during the methane adsorption was capable to fit to the local area density homogenization equation of methane adsorption in coal under different adsorption pressures and observation scales. The calculation accuracy of this equation was determined by the analysis of the 95% confidence intervals of the density homogenization coefficient </w:t>
      </w:r>
      <w:r w:rsidRPr="003532DF">
        <w:rPr>
          <w:i/>
        </w:rPr>
        <w:t>η</w:t>
      </w:r>
      <w:r w:rsidRPr="003532DF">
        <w:t>. The local area density homogenization equation provides a way to describe and predict deformation behavers of coal structures based on the their density information obtained by CT scanning, and has great significance for the numerical simulation of methane dynamic seepage characteristics in multi-scale structures of coal in the CBM exploitation process.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Zhou, Q.-Z., Xu, X.-M., Xu, H., Zheng, G.-Z., Pi, W.-L., Jiang, Y.-L., Xu, X.-P., Li, Y., Wang, J.-H., </w:t>
      </w:r>
      <w:r w:rsidR="00616347">
        <w:t xml:space="preserve">2020. </w:t>
      </w:r>
      <w:r w:rsidRPr="003532DF">
        <w:t>Surface microbial geochemistry of the Beihanzhuang oilfield, northern Jiangsu, China. Journal of Petroleum Science and Engineering 191, 107140.</w:t>
      </w:r>
    </w:p>
    <w:p w:rsidR="00DB42FE" w:rsidRPr="003532DF" w:rsidRDefault="00DB42FE" w:rsidP="00616347">
      <w:pPr>
        <w:pStyle w:val="EndNoteBibliography"/>
        <w:ind w:left="360"/>
      </w:pPr>
      <w:r w:rsidRPr="003532DF">
        <w:t>http://www.sciencedirect.com/science/article/pii/S092041052030228X</w:t>
      </w:r>
    </w:p>
    <w:p w:rsidR="00DB42FE" w:rsidRPr="003532DF" w:rsidRDefault="00DB42FE" w:rsidP="00616347">
      <w:pPr>
        <w:pStyle w:val="EndNoteBibliography"/>
        <w:spacing w:after="0"/>
        <w:ind w:left="360"/>
      </w:pPr>
      <w:r w:rsidRPr="003532DF">
        <w:t>Surface microbial geochemistry (SMG) is an effective tool to predict the occurrence of oil/gas deposits at the exploration phase. However, for oil/gas fields in the production period, the significance of SMG is always weakened since the existing microbial indicators for reservoir characterization by SMG are limited. In this study, we systematically analyzed the abundances of live and dead methane-oxidizing bacteria (MOBs) and butane-oxidizing bacteria (BOBs) in surface soils/sediments samples from two cores and 85 sampling sites in the Beihanzhuang Oilfield, China, using the culture-independent method. The results have demonstrated that the suitable sampling depth is 50 cm for this area; and the anomalies in the abundances of live and total MOBs/BOBs and their overlapping relation can clearly reflect the change in the horizontal distribution pattern of the subterranean oil reservoirs. A general SMG strategy integrated with novel microbial indicators has further been proposed in practical applications. Our work may provide a new clue for developing other new microbial indicators for SMG and promoting its wider applications.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lastRenderedPageBreak/>
        <w:t xml:space="preserve">Zhou, S., Wu, J., Bi, X., </w:t>
      </w:r>
      <w:r w:rsidR="00616347">
        <w:t xml:space="preserve">2020. </w:t>
      </w:r>
      <w:r w:rsidRPr="003532DF">
        <w:t>Spatial characteristics of soil δ</w:t>
      </w:r>
      <w:r w:rsidRPr="003532DF">
        <w:rPr>
          <w:vertAlign w:val="superscript"/>
        </w:rPr>
        <w:t>13</w:t>
      </w:r>
      <w:r w:rsidRPr="003532DF">
        <w:t>C and δ</w:t>
      </w:r>
      <w:r w:rsidRPr="003532DF">
        <w:rPr>
          <w:vertAlign w:val="superscript"/>
        </w:rPr>
        <w:t>15</w:t>
      </w:r>
      <w:r w:rsidRPr="003532DF">
        <w:t>N reveal shrub-induced successional process in a coastal wetland. Estuarine, Coastal and Shelf Science 236, 106621.</w:t>
      </w:r>
    </w:p>
    <w:p w:rsidR="00DB42FE" w:rsidRPr="003532DF" w:rsidRDefault="00DB42FE" w:rsidP="00616347">
      <w:pPr>
        <w:pStyle w:val="EndNoteBibliography"/>
        <w:ind w:left="360"/>
      </w:pPr>
      <w:r w:rsidRPr="003532DF">
        <w:t>http://www.sciencedirect.com/science/article/pii/S0272771419306912</w:t>
      </w:r>
    </w:p>
    <w:p w:rsidR="00DB42FE" w:rsidRPr="003532DF" w:rsidRDefault="00DB42FE" w:rsidP="00616347">
      <w:pPr>
        <w:pStyle w:val="EndNoteBibliography"/>
        <w:spacing w:after="0"/>
        <w:ind w:left="360"/>
      </w:pPr>
      <w:r w:rsidRPr="003532DF">
        <w:t>Woody plant encroachment into grasslands is a worldwide phenomenon. Still, there is a research gap in quantifying the ecological processes of coastal wetland ecosystems. Here, we combined soil stable isotope technology with geostatistical methods to quantify the spatial characteristics of soil δ</w:t>
      </w:r>
      <w:r w:rsidRPr="003532DF">
        <w:rPr>
          <w:vertAlign w:val="superscript"/>
        </w:rPr>
        <w:t>13</w:t>
      </w:r>
      <w:r w:rsidRPr="003532DF">
        <w:t>C and δ</w:t>
      </w:r>
      <w:r w:rsidRPr="003532DF">
        <w:rPr>
          <w:vertAlign w:val="superscript"/>
        </w:rPr>
        <w:t>15</w:t>
      </w:r>
      <w:r w:rsidRPr="003532DF">
        <w:t xml:space="preserve">N in a coastal wetland experiencing native shrub </w:t>
      </w:r>
      <w:r w:rsidRPr="003532DF">
        <w:rPr>
          <w:i/>
        </w:rPr>
        <w:t>Tamarix chinensis</w:t>
      </w:r>
      <w:r w:rsidRPr="003532DF">
        <w:t xml:space="preserve"> encroachment in the Yellow River Delta (YRD), China, and to clarify the possible mechanisms by which shrub-induced successional processes determined the spatial distribution of soil δ</w:t>
      </w:r>
      <w:r w:rsidRPr="003532DF">
        <w:rPr>
          <w:vertAlign w:val="superscript"/>
        </w:rPr>
        <w:t>13</w:t>
      </w:r>
      <w:r w:rsidRPr="003532DF">
        <w:t>C and δ</w:t>
      </w:r>
      <w:r w:rsidRPr="003532DF">
        <w:rPr>
          <w:vertAlign w:val="superscript"/>
        </w:rPr>
        <w:t>15</w:t>
      </w:r>
      <w:r w:rsidRPr="003532DF">
        <w:t>N. The results showed that soil δ</w:t>
      </w:r>
      <w:r w:rsidRPr="003532DF">
        <w:rPr>
          <w:vertAlign w:val="superscript"/>
        </w:rPr>
        <w:t>13</w:t>
      </w:r>
      <w:r w:rsidRPr="003532DF">
        <w:t>C and δ</w:t>
      </w:r>
      <w:r w:rsidRPr="003532DF">
        <w:rPr>
          <w:vertAlign w:val="superscript"/>
        </w:rPr>
        <w:t>15</w:t>
      </w:r>
      <w:r w:rsidRPr="003532DF">
        <w:t>N significantly decreased from bare land to grass and to shrub at the vegetation type level. Pearson correlation showed that soil δ</w:t>
      </w:r>
      <w:r w:rsidRPr="003532DF">
        <w:rPr>
          <w:vertAlign w:val="superscript"/>
        </w:rPr>
        <w:t>13</w:t>
      </w:r>
      <w:r w:rsidRPr="003532DF">
        <w:t>C and δ</w:t>
      </w:r>
      <w:r w:rsidRPr="003532DF">
        <w:rPr>
          <w:vertAlign w:val="superscript"/>
        </w:rPr>
        <w:t>15</w:t>
      </w:r>
      <w:r w:rsidRPr="003532DF">
        <w:t>N were positively related to soil salinity, but negatively related to plant variables (grass cover, shrub crown width and above-ground biomass). Scaling method indicated that soil δ</w:t>
      </w:r>
      <w:r w:rsidRPr="003532DF">
        <w:rPr>
          <w:vertAlign w:val="superscript"/>
        </w:rPr>
        <w:t>13</w:t>
      </w:r>
      <w:r w:rsidRPr="003532DF">
        <w:t xml:space="preserve">C variation occurred at two different scales, 40 m and 150 m, representing influences of shrub </w:t>
      </w:r>
      <w:r w:rsidRPr="003532DF">
        <w:rPr>
          <w:i/>
        </w:rPr>
        <w:t>T. chinensis</w:t>
      </w:r>
      <w:r w:rsidRPr="003532DF">
        <w:t xml:space="preserve"> and environmental heterogeneity, respectively. Soil δ</w:t>
      </w:r>
      <w:r w:rsidRPr="003532DF">
        <w:rPr>
          <w:vertAlign w:val="superscript"/>
        </w:rPr>
        <w:t>15</w:t>
      </w:r>
      <w:r w:rsidRPr="003532DF">
        <w:t xml:space="preserve">N variation was observed to occur at the 75 m scale, suggesting the combination effect of </w:t>
      </w:r>
      <w:r w:rsidRPr="003532DF">
        <w:rPr>
          <w:i/>
        </w:rPr>
        <w:t>T. chinensis</w:t>
      </w:r>
      <w:r w:rsidRPr="003532DF">
        <w:t xml:space="preserve"> and </w:t>
      </w:r>
      <w:r w:rsidRPr="003532DF">
        <w:rPr>
          <w:i/>
        </w:rPr>
        <w:t>Suaeda glauca</w:t>
      </w:r>
      <w:r w:rsidRPr="003532DF">
        <w:t>-dominated grass species. Furthermore, other soil and plant variables also exhibited two-scale characteristics similar to soil δ</w:t>
      </w:r>
      <w:r w:rsidRPr="003532DF">
        <w:rPr>
          <w:vertAlign w:val="superscript"/>
        </w:rPr>
        <w:t>13</w:t>
      </w:r>
      <w:r w:rsidRPr="003532DF">
        <w:t>C. Therefore, the vegetation succession processes of coastal wetlands experiencing shrub encroachment could be understood well by combining soil stable isotope with GIS spatial tools. The spatial characteristics of soil stable isotopes help us establish strategies for protecting and managing coastal wetlands.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Zhu, D., Liu, Q., He, Z., Ding, Q., Wang, J., </w:t>
      </w:r>
      <w:r w:rsidR="00616347">
        <w:t xml:space="preserve">2020. </w:t>
      </w:r>
      <w:r w:rsidRPr="003532DF">
        <w:t>Early development and late preservation of porosity linked to presence of hydrocarbons in Precambrian microbialite gas reservoirs within the Sichuan Basin, southern China. Precambrian Research 342, 105694.</w:t>
      </w:r>
    </w:p>
    <w:p w:rsidR="00DB42FE" w:rsidRPr="003532DF" w:rsidRDefault="00DB42FE" w:rsidP="00616347">
      <w:pPr>
        <w:pStyle w:val="EndNoteBibliography"/>
        <w:ind w:left="360"/>
      </w:pPr>
      <w:r w:rsidRPr="003532DF">
        <w:t>http://www.sciencedirect.com/science/article/pii/S0301926819306485</w:t>
      </w:r>
    </w:p>
    <w:p w:rsidR="00DB42FE" w:rsidRPr="003532DF" w:rsidRDefault="00DB42FE" w:rsidP="00616347">
      <w:pPr>
        <w:pStyle w:val="EndNoteBibliography"/>
        <w:spacing w:after="0"/>
        <w:ind w:left="360"/>
      </w:pPr>
      <w:r w:rsidRPr="003532DF">
        <w:t>The ancient Ediacaran Dengying Formation consists of microbialites with unusually high porosity that represent a large proportion of the Weiyuan-Anyue gas reservoirs in southwestern China’s Sichuan Basin. However, a clear model for the development and preservation of these microbialite reservoirs has yet not been determined. We used samples from outcrops and borehole cores to characterize these microbialites and propose a model for early development and subsequent reservation of their porosity. Primary porosity in the microbialite framework was mainly represented by fenestrate vugs and elongated cavities between microbial layers that were formed during initial sedimentation as well as secondary karst vugs and caves formed by meteoric karst resulting from subsequent tectonic uplift; these features represent the early development of the microbialite reservoirs. Subsequent filling of vugs by early-stage radial dolomite (RD) and late-stage saddle dolomite (SD) occurred during the deep burial stage, with δ</w:t>
      </w:r>
      <w:r w:rsidRPr="003532DF">
        <w:rPr>
          <w:vertAlign w:val="superscript"/>
        </w:rPr>
        <w:t>18</w:t>
      </w:r>
      <w:r w:rsidRPr="003532DF">
        <w:t>O and homogenization temperature patterns suggesting continuous cementation. However, most vugs were not cemented due to combination of (1) a rigid dolomitized framework, (2) a closed burial system restricting the flow of mineralized fluid, (3) the presence of petroleum or pyrobitumen, and (4) acidic fluid conditions related to high concentrations of H</w:t>
      </w:r>
      <w:r w:rsidRPr="003532DF">
        <w:rPr>
          <w:vertAlign w:val="subscript"/>
        </w:rPr>
        <w:t>2</w:t>
      </w:r>
      <w:r w:rsidRPr="003532DF">
        <w:t>S and CO</w:t>
      </w:r>
      <w:r w:rsidRPr="003532DF">
        <w:rPr>
          <w:vertAlign w:val="subscript"/>
        </w:rPr>
        <w:t>2</w:t>
      </w:r>
      <w:r w:rsidRPr="003532DF">
        <w:t>. The third and fourth factors were linked to presence of hydrocarbons and had made big contribution to porosity retention during deep burial diagenetic stage.</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lastRenderedPageBreak/>
        <w:t xml:space="preserve">Zhu, G., Li, J., Chi, L., Zhang, Z., Li, T., Zhou, L., Wu, Z., </w:t>
      </w:r>
      <w:r w:rsidR="00616347">
        <w:t xml:space="preserve">2020. </w:t>
      </w:r>
      <w:r w:rsidRPr="003532DF">
        <w:t>The influence of gas invasion on the composition of crude oil and the controlling factors for the reservoir fluid phase. Energy &amp; Fuels 34, 2710-2725.</w:t>
      </w:r>
    </w:p>
    <w:p w:rsidR="00DB42FE" w:rsidRPr="003532DF" w:rsidRDefault="00DB42FE" w:rsidP="00616347">
      <w:pPr>
        <w:pStyle w:val="EndNoteBibliography"/>
        <w:ind w:left="360"/>
      </w:pPr>
      <w:r w:rsidRPr="003532DF">
        <w:t>https://doi.org/10.1021/acs.energyfuels.9b03548</w:t>
      </w:r>
    </w:p>
    <w:p w:rsidR="00DB42FE" w:rsidRPr="003532DF" w:rsidRDefault="00DB42FE" w:rsidP="00616347">
      <w:pPr>
        <w:pStyle w:val="EndNoteBibliography"/>
        <w:spacing w:after="0"/>
        <w:ind w:left="360"/>
      </w:pPr>
      <w:r w:rsidRPr="003532DF">
        <w:t xml:space="preserve">Oil and gas in deep strata is complex in property and variable in phase type, which imposes great challenges to exploration. This is particularly true in the deep Ordovician of Tarim Basin (NW China) where abundant oil and gas resources were discovered with various phase types including gas, condensate, volatile oil, normal oil, and heavy oil. The prediction of the composition and phase type of deep fluid is a crucial issue in future development. In this study, typical oils from different types of reservoirs from the East Lungu area (north Tarim Basin) were sampled and analyzed with two-dimensional gas chromatography/time-of-flight mass spectrometry (GC × GC-TOFMS) for the reconstruction of gas invasion on its impact oil compositions and reservoir phase type. The concentration of diamondoids in crude oil and the loss of </w:t>
      </w:r>
      <w:r w:rsidRPr="003532DF">
        <w:rPr>
          <w:i/>
        </w:rPr>
        <w:t>n</w:t>
      </w:r>
      <w:r w:rsidRPr="003532DF">
        <w:t>-alkane decreased gradually along the westward direction of gas invasion. Coupled with several other parameters, the quantitative evaluation of the gas invasion intensity indicated that gas invasion occurs from east to west in the late period (12–2 Ma) in the study site and altered the paleo reservoirs formed in the Late Hercynian (293–255 Ma), and thus formed the condensate (strong gas invasion), volatile oil (weak gas invasion), and normal oil reservoir (no gas invasion), successively. The prediction of the phase type distribution provides a scientific basis for deep oil and gas exploration and resource assessment.</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Zhu, H., Xu, T., Yuan, Y., Feng, G., Xia, Y., Xin, X., </w:t>
      </w:r>
      <w:r w:rsidR="00616347">
        <w:t xml:space="preserve">2020. </w:t>
      </w:r>
      <w:r w:rsidRPr="003532DF">
        <w:t>Numerical analysis of sand production during natural gas extraction from unconsolidated hydrate-bearing sediments. Journal of Natural Gas Science and Engineering 76, 103229.</w:t>
      </w:r>
    </w:p>
    <w:p w:rsidR="00DB42FE" w:rsidRPr="003532DF" w:rsidRDefault="00DB42FE" w:rsidP="00616347">
      <w:pPr>
        <w:pStyle w:val="EndNoteBibliography"/>
        <w:ind w:left="360"/>
      </w:pPr>
      <w:r w:rsidRPr="003532DF">
        <w:t>http://www.sciencedirect.com/science/article/pii/S1875510020300834</w:t>
      </w:r>
    </w:p>
    <w:p w:rsidR="00DB42FE" w:rsidRPr="003532DF" w:rsidRDefault="00DB42FE" w:rsidP="00616347">
      <w:pPr>
        <w:pStyle w:val="EndNoteBibliography"/>
        <w:spacing w:after="0"/>
        <w:ind w:left="360"/>
      </w:pPr>
      <w:r w:rsidRPr="003532DF">
        <w:t>Sand production, which poses a great challenge for sustainable methane gas production, is commonly encountered during natural gas extraction from unconsolidated hydrate-bearing sediments. However, studies on the subject are still limited. This paper provides a numerical model, coupled with thermo-hydro-mechanical (THM) processes, which is capable to characterize the process of sand production in gas hydrate-bearing sediments. The numerical simulator is developed by introducing the newly developed particle migration module into the existing framework of the THM coupled simulator HydrateBiot. The dynamic of sand production was investigated numerically, and the influence of various parameters on sand, gas and water production was studied. The simulation results show that particle detachment and migration mainly occurs in the vicinity of wellbore, while lowering the depressurization rate can mitigate sand production to some extent without significantly inhibiting the gas production. The using of the sand control device can effectively inhibit sand production, but its blockage will cause a significant drop in gas productivity. Sensitivity analyses of the critical fluidization velocity and solid-liquid velocity show that the increase of solid particle concentration will significantly affect the fluidity of water, thus affecting the depressurization process and gas productivity. It is also found that the massive particle detachment and migration may cause the appearance of clogging area in the vicinity of the wellbore and severely restrict the sustainable gas production. The numerical model and analysis presented here could provide useful insight into sand detachment, migration and production processes induced by methane gas production using depressurization method in the hydrate-bearing marine sediments.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lastRenderedPageBreak/>
        <w:t xml:space="preserve">Zilhão, J., Angelucci, D.E., Igreja, M.A., Arnold, L.J., Badal, E., Callapez, P., Cardoso, J.L., d’Errico, F., Daura, J., Demuro, M., Deschamps, M., Dupont, C., Gabriel, S., Hoffmann, D.L., Legoinha, P., Matias, H., Monge Soares, A.M., Nabais, M., Portela, P., Queffelec, A., Rodrigues, F., Souto, P., </w:t>
      </w:r>
      <w:r w:rsidR="00616347">
        <w:t xml:space="preserve">2020. </w:t>
      </w:r>
      <w:r w:rsidRPr="003532DF">
        <w:t>Last Interglacial Iberian Neandertals as fisher-hunter-gatherers. Science 367, eaaz7943.</w:t>
      </w:r>
    </w:p>
    <w:p w:rsidR="00DB42FE" w:rsidRPr="003532DF" w:rsidRDefault="00DB42FE" w:rsidP="00616347">
      <w:pPr>
        <w:pStyle w:val="EndNoteBibliography"/>
        <w:ind w:left="360"/>
      </w:pPr>
      <w:r w:rsidRPr="003532DF">
        <w:t>http://science.sciencemag.org/content/367/6485/eaaz7943.abstract</w:t>
      </w:r>
    </w:p>
    <w:p w:rsidR="00DB42FE" w:rsidRPr="003532DF" w:rsidRDefault="00DB42FE" w:rsidP="00616347">
      <w:pPr>
        <w:pStyle w:val="EndNoteBibliography"/>
        <w:ind w:left="360"/>
      </w:pPr>
      <w:r w:rsidRPr="003532DF">
        <w:t>Abstract: Marine food–reliant subsistence systems such as those in the African Middle Stone Age (MSA) were not thought to exist in Europe until the much later Mesolithic. Whether this apparent lag reflects taphonomic biases or behavioral distinctions between archaic and modern humans remains much debated. Figueira Brava cave, in the Arrábida range (Portugal), provides an exceptionally well preserved record of Neandertal coastal resource exploitation on a comparable scale to the MSA and dated to ~86 to 106 thousand years ago. The breadth of the subsistence base—pine nuts, marine invertebrates, fish, marine birds and mammals, tortoises, waterfowl, and hoofed game—exceeds that of regional early Holocene sites. Fisher-hunter-gatherer economies are not the preserve of anatomically modern people; by the Last Interglacial, they were in place across the Old World in the appropriate settings.</w:t>
      </w:r>
    </w:p>
    <w:p w:rsidR="00DB42FE" w:rsidRPr="003532DF" w:rsidRDefault="00DB42FE" w:rsidP="00616347">
      <w:pPr>
        <w:pStyle w:val="EndNoteBibliography"/>
        <w:ind w:left="360"/>
      </w:pPr>
      <w:r w:rsidRPr="003532DF">
        <w:t>Structured Abstract</w:t>
      </w:r>
    </w:p>
    <w:p w:rsidR="00DB42FE" w:rsidRPr="003532DF" w:rsidRDefault="00DB42FE" w:rsidP="00616347">
      <w:pPr>
        <w:pStyle w:val="EndNoteBibliography"/>
        <w:ind w:left="360"/>
      </w:pPr>
      <w:r w:rsidRPr="003532DF">
        <w:t>Introduction: A record of the regular exploitation of aquatic foods has been lacking in Neandertal Europe. By contrast, marine resources feature prominently—alongside personal ornaments, body painting, and linear-geometric drawings—in the archeology of Last Interglacial Africa. A competitive advantage scenario of human origins is that the habitual consumption of aquatic foods and the fatty acids they contain, which favor brain development, underpins the acquisition of modernity in cognition and behavior. The resulting innovations in technology, demographic growth, and enhanced prosociality would therefore explain modern humans’ out-of-Africa expansion with regard to both dispersal process (along coastal routes and to southern Asia first) and outcome (the demise of coeval non-modern Eurasians). A corollary of this view is that the paucity of marine foods at Neandertal coastal sites is a genuine reflection of their subsistence behavior.</w:t>
      </w:r>
    </w:p>
    <w:p w:rsidR="00DB42FE" w:rsidRPr="003532DF" w:rsidRDefault="00DB42FE" w:rsidP="00616347">
      <w:pPr>
        <w:pStyle w:val="EndNoteBibliography"/>
        <w:ind w:left="360"/>
      </w:pPr>
      <w:r w:rsidRPr="003532DF">
        <w:t>Rationale: Europe’s Atlantic façade boasts resource-rich coastal waters comparable to those of South Africa. From Scandinavia to France, however, any evidence for the Last Interglacial exploitation of marine resources would have been lost to subsequent icecap advances and postglacial submersion of the wide continental platform. Conversely, the very steep shelf off Arrábida, a littoral mountain range 30 km south of Lisbon, Portugal, has enabled extant and submerged shorelines to be preserved short distances apart. Gruta da Figueira Brava, one of Arrábida’s erosion-protected, seaside cave sites, provides a singular opportunity to investigate whether any considerable Last Interglacial accumulations of marine food debris ever existed in Europe.</w:t>
      </w:r>
    </w:p>
    <w:p w:rsidR="00DB42FE" w:rsidRPr="003532DF" w:rsidRDefault="00DB42FE" w:rsidP="00616347">
      <w:pPr>
        <w:pStyle w:val="EndNoteBibliography"/>
        <w:ind w:left="360"/>
      </w:pPr>
      <w:r w:rsidRPr="003532DF">
        <w:t xml:space="preserve">Results: The Figueira Brava archeological sequence dates to ~86 to 106 thousand years ago (kya). Throughout, there is evidence of a settlement-subsistence system based on regular exploitation of all animal resources offered by the coastal environment: large crabs, marine mollusks, fish, marine birds and mammals, tortoise, waterfowl, and hoofed game. The composition of the food basket and the structure of the deposit vary as a function of the following: (i) sea-level oscillation, with implications for the ecosystems that were preferentially targeted; (ii) frequency of human occupation; (iii) site-formation process; and (iv) position of the archeological trenches relative to the changing configuration of the inhabited space. The initial occupations (phases FB1 and FB2), when </w:t>
      </w:r>
      <w:r w:rsidRPr="003532DF">
        <w:lastRenderedPageBreak/>
        <w:t>the sea was closer to the cave (~750 m), include shell-supported accumulations. These occupations were followed by a period of infrequent use (phase FB3) and a final phase (FB4), when the shoreline was ~2000 m away but shellfish were again discarded at the site in substantial amounts. The density of marine food remains compares well to that seen in the regional Mesolithic and the Last Interglacial of South Africa and the Maghreb and exceeds the latter two in the case of crabs and fish. Figueira Brava also documents a stone pine economy featuring seasonal harvesting and on-site storage of the cones for deferred consumption of the nuts. The stability of this subsistence system suggests successful long-term adaptation.</w:t>
      </w:r>
    </w:p>
    <w:p w:rsidR="00DB42FE" w:rsidRPr="003532DF" w:rsidRDefault="00DB42FE" w:rsidP="00616347">
      <w:pPr>
        <w:pStyle w:val="EndNoteBibliography"/>
        <w:ind w:left="360"/>
      </w:pPr>
      <w:r w:rsidRPr="003532DF">
        <w:t>Conclusion: Figueira Brava provides the first record of significant marine resource consumption among Europe’s Neandertals. Taphonomic and site-preservation biases explain why this kind of record has not been previously found in Europe on the scale seen among coeval African populations. Consistent with rapidly accumulating evidence that Neandertals possessed a fully symbolic material culture, the subsistence evidence reported here further questions the behavioral gap once thought to separate them from modern humans.</w:t>
      </w:r>
    </w:p>
    <w:p w:rsidR="00DB42FE" w:rsidRPr="003532DF" w:rsidRDefault="00DB42FE" w:rsidP="00616347">
      <w:pPr>
        <w:pStyle w:val="EndNoteBibliography"/>
        <w:ind w:left="360"/>
      </w:pPr>
      <w:r w:rsidRPr="003532DF">
        <w:t>Note the Mediterranean vegetation, like at the time of the Last Interglacial occupation, the MIS 5e marine abrasion terrace, and, under the overhang, the brecciated remnant dated to ~86 to 106 kya. Neandertal use of this cave space, which is currently unroofed due to Holocene erosion, has left an archeological record rich in fish, shellfish, and other coastal resources.</w:t>
      </w:r>
    </w:p>
    <w:p w:rsidR="00DB42FE" w:rsidRPr="003532DF" w:rsidRDefault="00DB42FE" w:rsidP="00616347">
      <w:pPr>
        <w:pStyle w:val="EndNoteBibliography"/>
        <w:spacing w:after="0"/>
        <w:ind w:left="360"/>
      </w:pPr>
      <w:r w:rsidRPr="003532DF">
        <w:t xml:space="preserve">Editor's Summary. Fruits of the sea: The origins of marine resource consumption by humans have been much debated. Zilhão </w:t>
      </w:r>
      <w:r w:rsidRPr="003532DF">
        <w:rPr>
          <w:i/>
        </w:rPr>
        <w:t>et al.</w:t>
      </w:r>
      <w:r w:rsidRPr="003532DF">
        <w:t xml:space="preserve"> present evidence that, in Atlantic Iberia's coastal settings, Middle Paleolithic Neanderthals exploited marine resources at a scale on par with the modern human–associated Middle Stone Age of southern Africa (see the Perspective by Will). Excavations at the Figueira Brava site on Portugal's Atlantic coast reveal shell middens rich in the remains of mollusks, crabs, and fish, as well as terrestrial food items. Familiarity with the sea and its resources may thus have been widespread for residents there in the Middle Paleolithic. The Figueira Brava Neanderthals also exploited stone pine nuts in a way akin to that previously identified in the Holocene of Iberia. These findings add broader dimensions to our understanding of the role of aquatic resources in the subsistence of Paleolithic humans.</w:t>
      </w:r>
    </w:p>
    <w:p w:rsidR="00DB42FE" w:rsidRPr="003532DF" w:rsidRDefault="00DB42FE" w:rsidP="00616347">
      <w:pPr>
        <w:pStyle w:val="EndNoteBibliography"/>
        <w:ind w:left="360"/>
      </w:pPr>
    </w:p>
    <w:p w:rsidR="00DB42FE" w:rsidRPr="003532DF" w:rsidRDefault="00DB42FE" w:rsidP="00616347">
      <w:pPr>
        <w:pStyle w:val="EndNoteBibliography"/>
        <w:ind w:left="360" w:hanging="360"/>
      </w:pPr>
      <w:r w:rsidRPr="003532DF">
        <w:t xml:space="preserve">Zuber, J., Wollmerstädt, H., Kuchling, T., Kureti, S., Rathsack, P., </w:t>
      </w:r>
      <w:r w:rsidR="00616347">
        <w:t xml:space="preserve">2020. </w:t>
      </w:r>
      <w:r w:rsidRPr="003532DF">
        <w:t>Analysis of hydrogenation products of biocrude obtained from hydrothermally liquefied algal biomass using Fourier-transform ion cyclotron resonance mass spectrometry. Energy &amp; Fuels 34, 3199-3209.</w:t>
      </w:r>
    </w:p>
    <w:p w:rsidR="00DB42FE" w:rsidRPr="003532DF" w:rsidRDefault="00DB42FE" w:rsidP="00616347">
      <w:pPr>
        <w:pStyle w:val="EndNoteBibliography"/>
        <w:ind w:left="360"/>
      </w:pPr>
      <w:r w:rsidRPr="003532DF">
        <w:t>https://doi.org/10.1021/acs.energyfuels.9b02943</w:t>
      </w:r>
    </w:p>
    <w:p w:rsidR="00DB42FE" w:rsidRPr="003532DF" w:rsidRDefault="00DB42FE" w:rsidP="00616347">
      <w:pPr>
        <w:pStyle w:val="EndNoteBibliography"/>
        <w:ind w:left="360"/>
      </w:pPr>
      <w:r w:rsidRPr="003532DF">
        <w:t xml:space="preserve">Fuels produced from microalgae are a promising alternative to fuels from fossil resources. Algae biomass can be transformed by means of hydrothermal liquefaction (HTL) into biocrudes, which need upgrading by hydrotreatment to meet transportation fuel requirements. This study presents analyses of HTL biocrude catalytically hydrogenated in a batch reactor at temperatures between 360 and 400 °C and residence times between 2.5 and 10.2 h. Selected samples were analyzed using Fourier-transform ion cyclotron resonance mass spectrometry (FT-ICR-MS). The goal of the analysis was to characterize higher-molecular-weight components in the biocrude. Electrospray ionization in positive and negative ion modes was successfully applied to ionize heteroatomic compounds and, depending on the ionization mode and sample, molecular formulas between 200 and 1200 u were observed. Several molecular formulas were identified containing oxygen, nitrogen, sulfur, and </w:t>
      </w:r>
      <w:r w:rsidRPr="003532DF">
        <w:lastRenderedPageBreak/>
        <w:t>phosphorous and with carbon numbers (</w:t>
      </w:r>
      <w:r w:rsidRPr="003532DF">
        <w:rPr>
          <w:i/>
        </w:rPr>
        <w:t>n</w:t>
      </w:r>
      <w:r w:rsidRPr="003532DF">
        <w:rPr>
          <w:vertAlign w:val="subscript"/>
        </w:rPr>
        <w:t>C</w:t>
      </w:r>
      <w:r w:rsidRPr="003532DF">
        <w:t>) between 10 and 60. The results show that the number of observable heteroatomic molecular formulas increases for samples representing intermediate hydrogenation conditions compared to the crude, and decreases at higher temperatures and times. Nitrogen compounds of type C</w:t>
      </w:r>
      <w:r w:rsidRPr="003532DF">
        <w:rPr>
          <w:i/>
          <w:vertAlign w:val="subscript"/>
        </w:rPr>
        <w:t>c</w:t>
      </w:r>
      <w:r w:rsidRPr="003532DF">
        <w:t>H</w:t>
      </w:r>
      <w:r w:rsidRPr="003532DF">
        <w:rPr>
          <w:i/>
          <w:vertAlign w:val="subscript"/>
        </w:rPr>
        <w:t>h</w:t>
      </w:r>
      <w:r w:rsidRPr="003532DF">
        <w:t>N</w:t>
      </w:r>
      <w:r w:rsidRPr="003532DF">
        <w:rPr>
          <w:i/>
          <w:vertAlign w:val="subscript"/>
        </w:rPr>
        <w:t>n</w:t>
      </w:r>
      <w:r w:rsidRPr="003532DF">
        <w:t xml:space="preserve"> with </w:t>
      </w:r>
      <w:r w:rsidRPr="003532DF">
        <w:rPr>
          <w:i/>
        </w:rPr>
        <w:t>n</w:t>
      </w:r>
      <w:r w:rsidRPr="003532DF">
        <w:t xml:space="preserve"> ≥ 2 are more easily removed from the samples than those with </w:t>
      </w:r>
      <w:r w:rsidRPr="003532DF">
        <w:rPr>
          <w:i/>
        </w:rPr>
        <w:t>n</w:t>
      </w:r>
      <w:r w:rsidRPr="003532DF">
        <w:t xml:space="preserve"> = 1. Also, the fate of oxygen compounds can be tracked upon hydrogenation, revealing that phenols are effectively removed, but aliphatic and monounsaturated carboxylic acids are still present in samples representing the greatest hydrogenation progress. The analysis allows the decrease of heteroatomic compounds to be tracked and facilitates the selection of optimum parameters for the hydrogenation of HTL biocrudes from algae.</w:t>
      </w:r>
      <w:bookmarkStart w:id="0" w:name="_GoBack"/>
      <w:bookmarkEnd w:id="0"/>
    </w:p>
    <w:sectPr w:rsidR="00DB42FE" w:rsidRPr="003532DF" w:rsidSect="0049390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201B5" w:rsidRDefault="003201B5" w:rsidP="00EF0D1D">
      <w:pPr>
        <w:spacing w:before="0" w:after="0"/>
      </w:pPr>
      <w:r>
        <w:separator/>
      </w:r>
    </w:p>
  </w:endnote>
  <w:endnote w:type="continuationSeparator" w:id="0">
    <w:p w:rsidR="003201B5" w:rsidRDefault="003201B5" w:rsidP="00EF0D1D">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201B5" w:rsidRDefault="003201B5" w:rsidP="00EF0D1D">
      <w:pPr>
        <w:spacing w:before="0" w:after="0"/>
      </w:pPr>
      <w:r>
        <w:separator/>
      </w:r>
    </w:p>
  </w:footnote>
  <w:footnote w:type="continuationSeparator" w:id="0">
    <w:p w:rsidR="003201B5" w:rsidRDefault="003201B5" w:rsidP="00EF0D1D">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1A3A58"/>
    <w:rsid w:val="0001450B"/>
    <w:rsid w:val="00025B8E"/>
    <w:rsid w:val="00040E03"/>
    <w:rsid w:val="00051FE2"/>
    <w:rsid w:val="000554EC"/>
    <w:rsid w:val="00062542"/>
    <w:rsid w:val="00063EDE"/>
    <w:rsid w:val="0007004C"/>
    <w:rsid w:val="00070BFA"/>
    <w:rsid w:val="0009337C"/>
    <w:rsid w:val="000A2352"/>
    <w:rsid w:val="000A7997"/>
    <w:rsid w:val="000C0F88"/>
    <w:rsid w:val="000C78F6"/>
    <w:rsid w:val="000D05CF"/>
    <w:rsid w:val="000D6D89"/>
    <w:rsid w:val="000F091F"/>
    <w:rsid w:val="000F3176"/>
    <w:rsid w:val="00116856"/>
    <w:rsid w:val="00117393"/>
    <w:rsid w:val="00120E50"/>
    <w:rsid w:val="00122B07"/>
    <w:rsid w:val="00123F4A"/>
    <w:rsid w:val="001429F0"/>
    <w:rsid w:val="001467FF"/>
    <w:rsid w:val="00164764"/>
    <w:rsid w:val="0017154A"/>
    <w:rsid w:val="001744A4"/>
    <w:rsid w:val="00184C6A"/>
    <w:rsid w:val="00190DEA"/>
    <w:rsid w:val="00197A9D"/>
    <w:rsid w:val="001A29F9"/>
    <w:rsid w:val="001A3A58"/>
    <w:rsid w:val="001C7498"/>
    <w:rsid w:val="001D1AAB"/>
    <w:rsid w:val="001D2560"/>
    <w:rsid w:val="001D2B9E"/>
    <w:rsid w:val="001E26CC"/>
    <w:rsid w:val="00227687"/>
    <w:rsid w:val="002365C5"/>
    <w:rsid w:val="00237FB7"/>
    <w:rsid w:val="00255F55"/>
    <w:rsid w:val="00256CD8"/>
    <w:rsid w:val="00263C85"/>
    <w:rsid w:val="002731DB"/>
    <w:rsid w:val="00277283"/>
    <w:rsid w:val="00283A29"/>
    <w:rsid w:val="00292F65"/>
    <w:rsid w:val="00294331"/>
    <w:rsid w:val="002B0AA5"/>
    <w:rsid w:val="002D24A5"/>
    <w:rsid w:val="002E74AE"/>
    <w:rsid w:val="002F26E4"/>
    <w:rsid w:val="00300AA4"/>
    <w:rsid w:val="00316169"/>
    <w:rsid w:val="003201B5"/>
    <w:rsid w:val="0032333B"/>
    <w:rsid w:val="003308B4"/>
    <w:rsid w:val="003316B7"/>
    <w:rsid w:val="003322D0"/>
    <w:rsid w:val="00343CD3"/>
    <w:rsid w:val="0035093C"/>
    <w:rsid w:val="003517B6"/>
    <w:rsid w:val="00390FD3"/>
    <w:rsid w:val="003A6A81"/>
    <w:rsid w:val="003C3647"/>
    <w:rsid w:val="003D108A"/>
    <w:rsid w:val="003E0BF5"/>
    <w:rsid w:val="003E3AB5"/>
    <w:rsid w:val="003E5A08"/>
    <w:rsid w:val="00400AB8"/>
    <w:rsid w:val="00406A4F"/>
    <w:rsid w:val="004131D0"/>
    <w:rsid w:val="00434456"/>
    <w:rsid w:val="0045624D"/>
    <w:rsid w:val="004872E2"/>
    <w:rsid w:val="0049088E"/>
    <w:rsid w:val="00493907"/>
    <w:rsid w:val="004A2E78"/>
    <w:rsid w:val="004A4EB2"/>
    <w:rsid w:val="004F0F54"/>
    <w:rsid w:val="004F1E0C"/>
    <w:rsid w:val="004F22FC"/>
    <w:rsid w:val="0050037E"/>
    <w:rsid w:val="00521F67"/>
    <w:rsid w:val="00523FF9"/>
    <w:rsid w:val="0054102A"/>
    <w:rsid w:val="005516C3"/>
    <w:rsid w:val="00553E27"/>
    <w:rsid w:val="00561232"/>
    <w:rsid w:val="00571279"/>
    <w:rsid w:val="005765D4"/>
    <w:rsid w:val="005836C5"/>
    <w:rsid w:val="005901AF"/>
    <w:rsid w:val="005A326F"/>
    <w:rsid w:val="005A52DC"/>
    <w:rsid w:val="005C3239"/>
    <w:rsid w:val="005C5B53"/>
    <w:rsid w:val="005D79ED"/>
    <w:rsid w:val="005E1B67"/>
    <w:rsid w:val="005F550D"/>
    <w:rsid w:val="00605AC8"/>
    <w:rsid w:val="00614E5A"/>
    <w:rsid w:val="00615A53"/>
    <w:rsid w:val="00616347"/>
    <w:rsid w:val="00624684"/>
    <w:rsid w:val="00630813"/>
    <w:rsid w:val="00631A4F"/>
    <w:rsid w:val="00634402"/>
    <w:rsid w:val="0064405D"/>
    <w:rsid w:val="006624DC"/>
    <w:rsid w:val="00672046"/>
    <w:rsid w:val="0068233C"/>
    <w:rsid w:val="006A33BC"/>
    <w:rsid w:val="006A4C6F"/>
    <w:rsid w:val="006C14E0"/>
    <w:rsid w:val="006C5F62"/>
    <w:rsid w:val="006C6DC5"/>
    <w:rsid w:val="006D7820"/>
    <w:rsid w:val="006F0F1C"/>
    <w:rsid w:val="006F4770"/>
    <w:rsid w:val="00703CC1"/>
    <w:rsid w:val="00717950"/>
    <w:rsid w:val="007312CE"/>
    <w:rsid w:val="00740059"/>
    <w:rsid w:val="007440DD"/>
    <w:rsid w:val="00745600"/>
    <w:rsid w:val="0074588D"/>
    <w:rsid w:val="007753E4"/>
    <w:rsid w:val="00782693"/>
    <w:rsid w:val="0079440C"/>
    <w:rsid w:val="0079506D"/>
    <w:rsid w:val="007A04CB"/>
    <w:rsid w:val="007A0A9B"/>
    <w:rsid w:val="007B3395"/>
    <w:rsid w:val="007D3C1E"/>
    <w:rsid w:val="00840517"/>
    <w:rsid w:val="0085509B"/>
    <w:rsid w:val="00855BDD"/>
    <w:rsid w:val="008610DA"/>
    <w:rsid w:val="00867C03"/>
    <w:rsid w:val="008741AD"/>
    <w:rsid w:val="0088579A"/>
    <w:rsid w:val="008A0BDA"/>
    <w:rsid w:val="008D02ED"/>
    <w:rsid w:val="00911845"/>
    <w:rsid w:val="00916634"/>
    <w:rsid w:val="009254E5"/>
    <w:rsid w:val="009505E9"/>
    <w:rsid w:val="0097793E"/>
    <w:rsid w:val="0098647D"/>
    <w:rsid w:val="009926BC"/>
    <w:rsid w:val="0099386F"/>
    <w:rsid w:val="00995666"/>
    <w:rsid w:val="00995C29"/>
    <w:rsid w:val="009A1C1B"/>
    <w:rsid w:val="009A391B"/>
    <w:rsid w:val="009A492E"/>
    <w:rsid w:val="009A52A7"/>
    <w:rsid w:val="009C683B"/>
    <w:rsid w:val="009D18C3"/>
    <w:rsid w:val="009E3113"/>
    <w:rsid w:val="009E5686"/>
    <w:rsid w:val="00A41590"/>
    <w:rsid w:val="00A67DA9"/>
    <w:rsid w:val="00A71E84"/>
    <w:rsid w:val="00A92A4D"/>
    <w:rsid w:val="00A94557"/>
    <w:rsid w:val="00AA48AD"/>
    <w:rsid w:val="00AC4FBD"/>
    <w:rsid w:val="00AD0F20"/>
    <w:rsid w:val="00AE487F"/>
    <w:rsid w:val="00B13A86"/>
    <w:rsid w:val="00B22F2E"/>
    <w:rsid w:val="00B30DDF"/>
    <w:rsid w:val="00B35821"/>
    <w:rsid w:val="00B378C1"/>
    <w:rsid w:val="00B415B3"/>
    <w:rsid w:val="00B425A0"/>
    <w:rsid w:val="00B444EF"/>
    <w:rsid w:val="00B67273"/>
    <w:rsid w:val="00B752DE"/>
    <w:rsid w:val="00B85242"/>
    <w:rsid w:val="00B90597"/>
    <w:rsid w:val="00BA01B4"/>
    <w:rsid w:val="00BA152D"/>
    <w:rsid w:val="00BA2195"/>
    <w:rsid w:val="00BB53BD"/>
    <w:rsid w:val="00BB7DDA"/>
    <w:rsid w:val="00BC2DD1"/>
    <w:rsid w:val="00BC6852"/>
    <w:rsid w:val="00BC6CFF"/>
    <w:rsid w:val="00BD7152"/>
    <w:rsid w:val="00BE7B53"/>
    <w:rsid w:val="00BF5D2C"/>
    <w:rsid w:val="00C10016"/>
    <w:rsid w:val="00C10A7F"/>
    <w:rsid w:val="00C113ED"/>
    <w:rsid w:val="00C202EC"/>
    <w:rsid w:val="00C563BF"/>
    <w:rsid w:val="00C90188"/>
    <w:rsid w:val="00CC1292"/>
    <w:rsid w:val="00CC7A59"/>
    <w:rsid w:val="00D07442"/>
    <w:rsid w:val="00D27F10"/>
    <w:rsid w:val="00D60F5E"/>
    <w:rsid w:val="00D64DF4"/>
    <w:rsid w:val="00D64E7C"/>
    <w:rsid w:val="00D80692"/>
    <w:rsid w:val="00D96CD1"/>
    <w:rsid w:val="00DA370F"/>
    <w:rsid w:val="00DA5F26"/>
    <w:rsid w:val="00DB42FE"/>
    <w:rsid w:val="00DE018F"/>
    <w:rsid w:val="00DE0224"/>
    <w:rsid w:val="00DE214D"/>
    <w:rsid w:val="00DE5111"/>
    <w:rsid w:val="00DF0DA9"/>
    <w:rsid w:val="00DF1249"/>
    <w:rsid w:val="00DF3758"/>
    <w:rsid w:val="00DF5B58"/>
    <w:rsid w:val="00E24413"/>
    <w:rsid w:val="00E315C8"/>
    <w:rsid w:val="00E44097"/>
    <w:rsid w:val="00E44B86"/>
    <w:rsid w:val="00E46D4D"/>
    <w:rsid w:val="00E67DD8"/>
    <w:rsid w:val="00EA3F60"/>
    <w:rsid w:val="00EA7BCB"/>
    <w:rsid w:val="00EC4CC7"/>
    <w:rsid w:val="00ED2217"/>
    <w:rsid w:val="00ED5DF7"/>
    <w:rsid w:val="00EE5371"/>
    <w:rsid w:val="00EF0D1D"/>
    <w:rsid w:val="00F00D02"/>
    <w:rsid w:val="00F01CC6"/>
    <w:rsid w:val="00F13782"/>
    <w:rsid w:val="00F15A92"/>
    <w:rsid w:val="00F21C11"/>
    <w:rsid w:val="00F23241"/>
    <w:rsid w:val="00F33358"/>
    <w:rsid w:val="00F37813"/>
    <w:rsid w:val="00F407FD"/>
    <w:rsid w:val="00F439C0"/>
    <w:rsid w:val="00F46943"/>
    <w:rsid w:val="00F55A9D"/>
    <w:rsid w:val="00F56A78"/>
    <w:rsid w:val="00F60385"/>
    <w:rsid w:val="00F67AE6"/>
    <w:rsid w:val="00F83BF8"/>
    <w:rsid w:val="00F963EF"/>
    <w:rsid w:val="00FA5061"/>
    <w:rsid w:val="00FA7108"/>
    <w:rsid w:val="00FB6993"/>
    <w:rsid w:val="00FC13FC"/>
    <w:rsid w:val="00FC39C3"/>
    <w:rsid w:val="00FC4137"/>
    <w:rsid w:val="00FC46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A1CE6A3-F663-4F67-BAEB-2CD23617B3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A3A58"/>
    <w:pPr>
      <w:widowControl w:val="0"/>
      <w:spacing w:before="100" w:after="100" w:line="240" w:lineRule="auto"/>
    </w:pPr>
    <w:rPr>
      <w:rFonts w:ascii="Times New Roman" w:eastAsia="Times New Roman" w:hAnsi="Times New Roman" w:cs="Times New Roman"/>
      <w:snapToGrid w:val="0"/>
      <w:sz w:val="24"/>
      <w:szCs w:val="20"/>
    </w:rPr>
  </w:style>
  <w:style w:type="paragraph" w:styleId="Heading3">
    <w:name w:val="heading 3"/>
    <w:basedOn w:val="Normal"/>
    <w:next w:val="Normal"/>
    <w:link w:val="Heading3Char"/>
    <w:qFormat/>
    <w:rsid w:val="001A3A58"/>
    <w:pPr>
      <w:keepNext/>
      <w:spacing w:before="240" w:after="60"/>
      <w:outlineLvl w:val="2"/>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1A3A58"/>
    <w:rPr>
      <w:rFonts w:ascii="Arial" w:eastAsia="Times New Roman" w:hAnsi="Arial" w:cs="Times New Roman"/>
      <w:snapToGrid w:val="0"/>
      <w:sz w:val="24"/>
      <w:szCs w:val="20"/>
    </w:rPr>
  </w:style>
  <w:style w:type="paragraph" w:customStyle="1" w:styleId="DefinitionTerm">
    <w:name w:val="Definition Term"/>
    <w:basedOn w:val="Normal"/>
    <w:next w:val="DefinitionList"/>
    <w:rsid w:val="001A3A58"/>
    <w:pPr>
      <w:spacing w:before="0" w:after="0"/>
    </w:pPr>
  </w:style>
  <w:style w:type="paragraph" w:customStyle="1" w:styleId="DefinitionList">
    <w:name w:val="Definition List"/>
    <w:basedOn w:val="Normal"/>
    <w:next w:val="DefinitionTerm"/>
    <w:rsid w:val="001A3A58"/>
    <w:pPr>
      <w:spacing w:before="0" w:after="0"/>
      <w:ind w:left="360"/>
    </w:pPr>
  </w:style>
  <w:style w:type="character" w:customStyle="1" w:styleId="Definition">
    <w:name w:val="Definition"/>
    <w:rsid w:val="001A3A58"/>
    <w:rPr>
      <w:i/>
    </w:rPr>
  </w:style>
  <w:style w:type="paragraph" w:customStyle="1" w:styleId="H1">
    <w:name w:val="H1"/>
    <w:basedOn w:val="Normal"/>
    <w:next w:val="Normal"/>
    <w:rsid w:val="001A3A58"/>
    <w:pPr>
      <w:keepNext/>
      <w:outlineLvl w:val="1"/>
    </w:pPr>
    <w:rPr>
      <w:b/>
      <w:kern w:val="36"/>
      <w:sz w:val="36"/>
    </w:rPr>
  </w:style>
  <w:style w:type="paragraph" w:customStyle="1" w:styleId="H2">
    <w:name w:val="H2"/>
    <w:basedOn w:val="Normal"/>
    <w:next w:val="Normal"/>
    <w:rsid w:val="001A3A58"/>
    <w:pPr>
      <w:keepNext/>
      <w:outlineLvl w:val="2"/>
    </w:pPr>
    <w:rPr>
      <w:b/>
      <w:sz w:val="28"/>
      <w:u w:val="single"/>
    </w:rPr>
  </w:style>
  <w:style w:type="paragraph" w:customStyle="1" w:styleId="H3">
    <w:name w:val="H3"/>
    <w:basedOn w:val="Normal"/>
    <w:next w:val="Normal"/>
    <w:rsid w:val="001A3A58"/>
    <w:pPr>
      <w:keepNext/>
      <w:ind w:left="720"/>
      <w:outlineLvl w:val="3"/>
    </w:pPr>
    <w:rPr>
      <w:b/>
      <w:smallCaps/>
      <w:u w:val="single"/>
    </w:rPr>
  </w:style>
  <w:style w:type="paragraph" w:customStyle="1" w:styleId="H4">
    <w:name w:val="H4"/>
    <w:basedOn w:val="Normal"/>
    <w:next w:val="Normal"/>
    <w:rsid w:val="001A3A58"/>
    <w:pPr>
      <w:keepNext/>
      <w:outlineLvl w:val="4"/>
    </w:pPr>
    <w:rPr>
      <w:b/>
    </w:rPr>
  </w:style>
  <w:style w:type="paragraph" w:customStyle="1" w:styleId="H5">
    <w:name w:val="H5"/>
    <w:basedOn w:val="Normal"/>
    <w:next w:val="Normal"/>
    <w:rsid w:val="001A3A58"/>
    <w:pPr>
      <w:keepNext/>
      <w:outlineLvl w:val="5"/>
    </w:pPr>
    <w:rPr>
      <w:b/>
      <w:sz w:val="20"/>
    </w:rPr>
  </w:style>
  <w:style w:type="paragraph" w:customStyle="1" w:styleId="H6">
    <w:name w:val="H6"/>
    <w:basedOn w:val="Normal"/>
    <w:next w:val="Normal"/>
    <w:rsid w:val="001A3A58"/>
    <w:pPr>
      <w:keepNext/>
      <w:outlineLvl w:val="6"/>
    </w:pPr>
    <w:rPr>
      <w:b/>
      <w:sz w:val="16"/>
    </w:rPr>
  </w:style>
  <w:style w:type="paragraph" w:customStyle="1" w:styleId="Address">
    <w:name w:val="Address"/>
    <w:basedOn w:val="Normal"/>
    <w:next w:val="Normal"/>
    <w:rsid w:val="001A3A58"/>
    <w:pPr>
      <w:spacing w:before="0" w:after="0"/>
    </w:pPr>
    <w:rPr>
      <w:i/>
    </w:rPr>
  </w:style>
  <w:style w:type="paragraph" w:customStyle="1" w:styleId="Blockquote">
    <w:name w:val="Blockquote"/>
    <w:basedOn w:val="Normal"/>
    <w:rsid w:val="001A3A58"/>
    <w:pPr>
      <w:ind w:left="360" w:right="360"/>
    </w:pPr>
  </w:style>
  <w:style w:type="character" w:customStyle="1" w:styleId="CITE">
    <w:name w:val="CITE"/>
    <w:rsid w:val="001A3A58"/>
    <w:rPr>
      <w:i/>
    </w:rPr>
  </w:style>
  <w:style w:type="character" w:customStyle="1" w:styleId="CODE">
    <w:name w:val="CODE"/>
    <w:rsid w:val="001A3A58"/>
    <w:rPr>
      <w:rFonts w:ascii="Courier New" w:hAnsi="Courier New"/>
      <w:sz w:val="20"/>
    </w:rPr>
  </w:style>
  <w:style w:type="character" w:styleId="Emphasis">
    <w:name w:val="Emphasis"/>
    <w:qFormat/>
    <w:rsid w:val="001A3A58"/>
    <w:rPr>
      <w:i/>
    </w:rPr>
  </w:style>
  <w:style w:type="character" w:styleId="Hyperlink">
    <w:name w:val="Hyperlink"/>
    <w:uiPriority w:val="99"/>
    <w:rsid w:val="001A3A58"/>
    <w:rPr>
      <w:color w:val="0000FF"/>
      <w:u w:val="single"/>
    </w:rPr>
  </w:style>
  <w:style w:type="character" w:styleId="FollowedHyperlink">
    <w:name w:val="FollowedHyperlink"/>
    <w:rsid w:val="001A3A58"/>
    <w:rPr>
      <w:color w:val="800080"/>
      <w:u w:val="single"/>
    </w:rPr>
  </w:style>
  <w:style w:type="character" w:customStyle="1" w:styleId="Keyboard">
    <w:name w:val="Keyboard"/>
    <w:rsid w:val="001A3A58"/>
    <w:rPr>
      <w:rFonts w:ascii="Courier New" w:hAnsi="Courier New"/>
      <w:b/>
      <w:sz w:val="20"/>
    </w:rPr>
  </w:style>
  <w:style w:type="paragraph" w:customStyle="1" w:styleId="Preformatted">
    <w:name w:val="Preformatted"/>
    <w:basedOn w:val="Normal"/>
    <w:rsid w:val="001A3A58"/>
    <w:pPr>
      <w:tabs>
        <w:tab w:val="left" w:pos="0"/>
        <w:tab w:val="left" w:pos="959"/>
        <w:tab w:val="left" w:pos="1918"/>
        <w:tab w:val="left" w:pos="2877"/>
        <w:tab w:val="left" w:pos="3836"/>
        <w:tab w:val="left" w:pos="4795"/>
        <w:tab w:val="left" w:pos="5754"/>
        <w:tab w:val="left" w:pos="6713"/>
        <w:tab w:val="left" w:pos="7672"/>
        <w:tab w:val="left" w:pos="8631"/>
        <w:tab w:val="left" w:pos="9590"/>
      </w:tabs>
      <w:spacing w:before="0" w:after="0"/>
    </w:pPr>
    <w:rPr>
      <w:rFonts w:ascii="Courier New" w:hAnsi="Courier New"/>
      <w:sz w:val="20"/>
    </w:rPr>
  </w:style>
  <w:style w:type="paragraph" w:styleId="z-BottomofForm">
    <w:name w:val="HTML Bottom of Form"/>
    <w:next w:val="Normal"/>
    <w:link w:val="z-BottomofFormChar"/>
    <w:hidden/>
    <w:rsid w:val="001A3A58"/>
    <w:pPr>
      <w:widowControl w:val="0"/>
      <w:pBdr>
        <w:top w:val="double" w:sz="2" w:space="0" w:color="000000"/>
      </w:pBdr>
      <w:spacing w:after="0" w:line="240" w:lineRule="auto"/>
      <w:jc w:val="center"/>
    </w:pPr>
    <w:rPr>
      <w:rFonts w:ascii="Arial" w:eastAsia="Times New Roman" w:hAnsi="Arial" w:cs="Times New Roman"/>
      <w:snapToGrid w:val="0"/>
      <w:vanish/>
      <w:sz w:val="16"/>
      <w:szCs w:val="20"/>
    </w:rPr>
  </w:style>
  <w:style w:type="character" w:customStyle="1" w:styleId="z-BottomofFormChar">
    <w:name w:val="z-Bottom of Form Char"/>
    <w:basedOn w:val="DefaultParagraphFont"/>
    <w:link w:val="z-BottomofForm"/>
    <w:rsid w:val="001A3A58"/>
    <w:rPr>
      <w:rFonts w:ascii="Arial" w:eastAsia="Times New Roman" w:hAnsi="Arial" w:cs="Times New Roman"/>
      <w:snapToGrid w:val="0"/>
      <w:vanish/>
      <w:sz w:val="16"/>
      <w:szCs w:val="20"/>
    </w:rPr>
  </w:style>
  <w:style w:type="paragraph" w:styleId="z-TopofForm">
    <w:name w:val="HTML Top of Form"/>
    <w:next w:val="Normal"/>
    <w:link w:val="z-TopofFormChar"/>
    <w:hidden/>
    <w:rsid w:val="001A3A58"/>
    <w:pPr>
      <w:widowControl w:val="0"/>
      <w:pBdr>
        <w:bottom w:val="double" w:sz="2" w:space="0" w:color="000000"/>
      </w:pBdr>
      <w:spacing w:after="0" w:line="240" w:lineRule="auto"/>
      <w:jc w:val="center"/>
    </w:pPr>
    <w:rPr>
      <w:rFonts w:ascii="Arial" w:eastAsia="Times New Roman" w:hAnsi="Arial" w:cs="Times New Roman"/>
      <w:snapToGrid w:val="0"/>
      <w:vanish/>
      <w:sz w:val="16"/>
      <w:szCs w:val="20"/>
    </w:rPr>
  </w:style>
  <w:style w:type="character" w:customStyle="1" w:styleId="z-TopofFormChar">
    <w:name w:val="z-Top of Form Char"/>
    <w:basedOn w:val="DefaultParagraphFont"/>
    <w:link w:val="z-TopofForm"/>
    <w:rsid w:val="001A3A58"/>
    <w:rPr>
      <w:rFonts w:ascii="Arial" w:eastAsia="Times New Roman" w:hAnsi="Arial" w:cs="Times New Roman"/>
      <w:snapToGrid w:val="0"/>
      <w:vanish/>
      <w:sz w:val="16"/>
      <w:szCs w:val="20"/>
    </w:rPr>
  </w:style>
  <w:style w:type="character" w:customStyle="1" w:styleId="Sample">
    <w:name w:val="Sample"/>
    <w:rsid w:val="001A3A58"/>
    <w:rPr>
      <w:rFonts w:ascii="Courier New" w:hAnsi="Courier New"/>
    </w:rPr>
  </w:style>
  <w:style w:type="character" w:styleId="Strong">
    <w:name w:val="Strong"/>
    <w:qFormat/>
    <w:rsid w:val="001A3A58"/>
    <w:rPr>
      <w:b/>
    </w:rPr>
  </w:style>
  <w:style w:type="character" w:customStyle="1" w:styleId="Typewriter">
    <w:name w:val="Typewriter"/>
    <w:rsid w:val="001A3A58"/>
    <w:rPr>
      <w:rFonts w:ascii="Courier New" w:hAnsi="Courier New"/>
      <w:sz w:val="20"/>
    </w:rPr>
  </w:style>
  <w:style w:type="character" w:customStyle="1" w:styleId="Variable">
    <w:name w:val="Variable"/>
    <w:rsid w:val="001A3A58"/>
    <w:rPr>
      <w:i/>
    </w:rPr>
  </w:style>
  <w:style w:type="character" w:customStyle="1" w:styleId="HTMLMarkup">
    <w:name w:val="HTML Markup"/>
    <w:rsid w:val="001A3A58"/>
    <w:rPr>
      <w:vanish/>
      <w:color w:val="FF0000"/>
    </w:rPr>
  </w:style>
  <w:style w:type="character" w:customStyle="1" w:styleId="Comment">
    <w:name w:val="Comment"/>
    <w:rsid w:val="001A3A58"/>
    <w:rPr>
      <w:vanish/>
    </w:rPr>
  </w:style>
  <w:style w:type="paragraph" w:styleId="DocumentMap">
    <w:name w:val="Document Map"/>
    <w:basedOn w:val="Normal"/>
    <w:link w:val="DocumentMapChar"/>
    <w:semiHidden/>
    <w:rsid w:val="001A3A58"/>
    <w:pPr>
      <w:shd w:val="clear" w:color="auto" w:fill="000080"/>
    </w:pPr>
    <w:rPr>
      <w:rFonts w:ascii="Tahoma" w:hAnsi="Tahoma"/>
    </w:rPr>
  </w:style>
  <w:style w:type="character" w:customStyle="1" w:styleId="DocumentMapChar">
    <w:name w:val="Document Map Char"/>
    <w:basedOn w:val="DefaultParagraphFont"/>
    <w:link w:val="DocumentMap"/>
    <w:semiHidden/>
    <w:rsid w:val="001A3A58"/>
    <w:rPr>
      <w:rFonts w:ascii="Tahoma" w:eastAsia="Times New Roman" w:hAnsi="Tahoma" w:cs="Times New Roman"/>
      <w:snapToGrid w:val="0"/>
      <w:sz w:val="24"/>
      <w:szCs w:val="20"/>
      <w:shd w:val="clear" w:color="auto" w:fill="000080"/>
    </w:rPr>
  </w:style>
  <w:style w:type="paragraph" w:customStyle="1" w:styleId="EndNoteBibliography">
    <w:name w:val="EndNote Bibliography"/>
    <w:basedOn w:val="Normal"/>
    <w:link w:val="EndNoteBibliographyChar"/>
    <w:rsid w:val="008741AD"/>
    <w:pPr>
      <w:widowControl/>
      <w:spacing w:before="0" w:after="200"/>
    </w:pPr>
    <w:rPr>
      <w:rFonts w:ascii="Calibri" w:eastAsiaTheme="minorHAnsi" w:hAnsi="Calibri" w:cstheme="minorBidi"/>
      <w:noProof/>
      <w:snapToGrid/>
      <w:sz w:val="22"/>
      <w:szCs w:val="22"/>
    </w:rPr>
  </w:style>
  <w:style w:type="character" w:customStyle="1" w:styleId="EndNoteBibliographyChar">
    <w:name w:val="EndNote Bibliography Char"/>
    <w:basedOn w:val="DefaultParagraphFont"/>
    <w:link w:val="EndNoteBibliography"/>
    <w:rsid w:val="008741AD"/>
    <w:rPr>
      <w:rFonts w:ascii="Calibri" w:hAnsi="Calibri"/>
      <w:noProof/>
    </w:rPr>
  </w:style>
  <w:style w:type="paragraph" w:styleId="Header">
    <w:name w:val="header"/>
    <w:basedOn w:val="Normal"/>
    <w:link w:val="HeaderChar"/>
    <w:uiPriority w:val="99"/>
    <w:unhideWhenUsed/>
    <w:rsid w:val="00EF0D1D"/>
    <w:pPr>
      <w:tabs>
        <w:tab w:val="center" w:pos="4680"/>
        <w:tab w:val="right" w:pos="9360"/>
      </w:tabs>
      <w:spacing w:before="0" w:after="0"/>
    </w:pPr>
  </w:style>
  <w:style w:type="character" w:customStyle="1" w:styleId="HeaderChar">
    <w:name w:val="Header Char"/>
    <w:basedOn w:val="DefaultParagraphFont"/>
    <w:link w:val="Header"/>
    <w:uiPriority w:val="99"/>
    <w:rsid w:val="00EF0D1D"/>
    <w:rPr>
      <w:rFonts w:ascii="Times New Roman" w:eastAsia="Times New Roman" w:hAnsi="Times New Roman" w:cs="Times New Roman"/>
      <w:snapToGrid w:val="0"/>
      <w:sz w:val="24"/>
      <w:szCs w:val="20"/>
    </w:rPr>
  </w:style>
  <w:style w:type="paragraph" w:styleId="Footer">
    <w:name w:val="footer"/>
    <w:basedOn w:val="Normal"/>
    <w:link w:val="FooterChar"/>
    <w:uiPriority w:val="99"/>
    <w:unhideWhenUsed/>
    <w:rsid w:val="00EF0D1D"/>
    <w:pPr>
      <w:tabs>
        <w:tab w:val="center" w:pos="4680"/>
        <w:tab w:val="right" w:pos="9360"/>
      </w:tabs>
      <w:spacing w:before="0" w:after="0"/>
    </w:pPr>
  </w:style>
  <w:style w:type="character" w:customStyle="1" w:styleId="FooterChar">
    <w:name w:val="Footer Char"/>
    <w:basedOn w:val="DefaultParagraphFont"/>
    <w:link w:val="Footer"/>
    <w:uiPriority w:val="99"/>
    <w:rsid w:val="00EF0D1D"/>
    <w:rPr>
      <w:rFonts w:ascii="Times New Roman" w:eastAsia="Times New Roman" w:hAnsi="Times New Roman" w:cs="Times New Roman"/>
      <w:snapToGrid w:val="0"/>
      <w:sz w:val="24"/>
      <w:szCs w:val="20"/>
    </w:rPr>
  </w:style>
  <w:style w:type="paragraph" w:customStyle="1" w:styleId="EndNoteBibliographyTitle">
    <w:name w:val="EndNote Bibliography Title"/>
    <w:basedOn w:val="Normal"/>
    <w:link w:val="EndNoteBibliographyTitleChar"/>
    <w:rsid w:val="0050037E"/>
    <w:pPr>
      <w:spacing w:before="0" w:after="240"/>
      <w:ind w:hanging="720"/>
      <w:outlineLvl w:val="0"/>
    </w:pPr>
  </w:style>
  <w:style w:type="character" w:customStyle="1" w:styleId="EndNoteBibliographyTitleChar">
    <w:name w:val="EndNote Bibliography Title Char"/>
    <w:basedOn w:val="DefaultParagraphFont"/>
    <w:link w:val="EndNoteBibliographyTitle"/>
    <w:rsid w:val="00B752DE"/>
    <w:rPr>
      <w:rFonts w:ascii="Times New Roman" w:eastAsia="Times New Roman" w:hAnsi="Times New Roman" w:cs="Times New Roman"/>
      <w:snapToGrid w:val="0"/>
      <w:sz w:val="24"/>
      <w:szCs w:val="20"/>
    </w:rPr>
  </w:style>
  <w:style w:type="paragraph" w:styleId="BalloonText">
    <w:name w:val="Balloon Text"/>
    <w:basedOn w:val="Normal"/>
    <w:link w:val="BalloonTextChar"/>
    <w:uiPriority w:val="99"/>
    <w:semiHidden/>
    <w:unhideWhenUsed/>
    <w:rsid w:val="00390FD3"/>
    <w:pPr>
      <w:widowControl/>
      <w:spacing w:before="0" w:after="0"/>
    </w:pPr>
    <w:rPr>
      <w:rFonts w:ascii="Segoe UI" w:eastAsiaTheme="minorHAnsi" w:hAnsi="Segoe UI" w:cs="Segoe UI"/>
      <w:snapToGrid/>
      <w:sz w:val="18"/>
      <w:szCs w:val="18"/>
    </w:rPr>
  </w:style>
  <w:style w:type="character" w:customStyle="1" w:styleId="BalloonTextChar">
    <w:name w:val="Balloon Text Char"/>
    <w:basedOn w:val="DefaultParagraphFont"/>
    <w:link w:val="BalloonText"/>
    <w:uiPriority w:val="99"/>
    <w:semiHidden/>
    <w:rsid w:val="00390FD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120459-8454-4F7F-AED3-1A85EA97FC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2740</TotalTime>
  <Pages>380</Pages>
  <Words>201831</Words>
  <Characters>1150443</Characters>
  <Application>Microsoft Office Word</Application>
  <DocSecurity>0</DocSecurity>
  <Lines>9587</Lines>
  <Paragraphs>2699</Paragraphs>
  <ScaleCrop>false</ScaleCrop>
  <HeadingPairs>
    <vt:vector size="2" baseType="variant">
      <vt:variant>
        <vt:lpstr>Title</vt:lpstr>
      </vt:variant>
      <vt:variant>
        <vt:i4>1</vt:i4>
      </vt:variant>
    </vt:vector>
  </HeadingPairs>
  <TitlesOfParts>
    <vt:vector size="1" baseType="lpstr">
      <vt:lpstr/>
    </vt:vector>
  </TitlesOfParts>
  <Company>.</Company>
  <LinksUpToDate>false</LinksUpToDate>
  <CharactersWithSpaces>1349575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Walters, Clifford C</dc:creator>
  <cp:lastModifiedBy>Walters, Clifford C</cp:lastModifiedBy>
  <cp:revision>10</cp:revision>
  <dcterms:created xsi:type="dcterms:W3CDTF">2020-03-28T20:19:00Z</dcterms:created>
  <dcterms:modified xsi:type="dcterms:W3CDTF">2020-03-30T20:36:00Z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-1142794294</vt:i4>
  </property>
  <property fmtid="{D5CDD505-2E9C-101B-9397-08002B2CF9AE}" pid="3" name="_NewReviewCycle">
    <vt:lpwstr/>
  </property>
  <property fmtid="{D5CDD505-2E9C-101B-9397-08002B2CF9AE}" pid="4" name="_EmailSubject">
    <vt:lpwstr>Geochemical References - March 2020</vt:lpwstr>
  </property>
  <property fmtid="{D5CDD505-2E9C-101B-9397-08002B2CF9AE}" pid="5" name="_AuthorEmail">
    <vt:lpwstr>clifford.c.walters@exxonmobil.com</vt:lpwstr>
  </property>
  <property fmtid="{D5CDD505-2E9C-101B-9397-08002B2CF9AE}" pid="6" name="_AuthorEmailDisplayName">
    <vt:lpwstr>Walters, Clifford C</vt:lpwstr>
  </property>
  <property fmtid="{D5CDD505-2E9C-101B-9397-08002B2CF9AE}" pid="8" name="_PreviousAdHocReviewCycleID">
    <vt:i4>-150428289</vt:i4>
  </property>
</Properties>
</file>